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50AE" w14:textId="77777777" w:rsidR="0028404C" w:rsidRPr="002139AB" w:rsidRDefault="00EA44A4">
      <w:pPr>
        <w:ind w:left="3969" w:right="49"/>
        <w:jc w:val="both"/>
        <w:rPr>
          <w:rFonts w:ascii="Arial" w:eastAsia="Arial" w:hAnsi="Arial" w:cs="Arial"/>
          <w:sz w:val="22"/>
          <w:szCs w:val="22"/>
        </w:rPr>
      </w:pPr>
      <w:bookmarkStart w:id="0" w:name="_gjdgxs" w:colFirst="0" w:colLast="0"/>
      <w:bookmarkStart w:id="1" w:name="_Hlk69506949"/>
      <w:bookmarkEnd w:id="0"/>
      <w:r w:rsidRPr="002139AB">
        <w:rPr>
          <w:rFonts w:ascii="Arial" w:eastAsia="Arial" w:hAnsi="Arial" w:cs="Arial"/>
          <w:b/>
          <w:sz w:val="22"/>
          <w:szCs w:val="22"/>
        </w:rPr>
        <w:t>JUICIO PARA LA PROTECCIÓN DE LOS DE LOS DERECHOS POLÍTICO-ELECTORALES DE LA CIUDADANÍA.</w:t>
      </w:r>
    </w:p>
    <w:p w14:paraId="3BE522F7" w14:textId="77777777" w:rsidR="0028404C" w:rsidRPr="002139AB" w:rsidRDefault="0028404C">
      <w:pPr>
        <w:spacing w:before="7"/>
        <w:ind w:left="3969" w:right="49" w:hanging="561"/>
        <w:jc w:val="both"/>
        <w:rPr>
          <w:rFonts w:ascii="Arial" w:eastAsia="Arial" w:hAnsi="Arial" w:cs="Arial"/>
          <w:sz w:val="22"/>
          <w:szCs w:val="22"/>
        </w:rPr>
      </w:pPr>
    </w:p>
    <w:p w14:paraId="607B2C07" w14:textId="45437C93" w:rsidR="0028404C" w:rsidRPr="002139AB" w:rsidRDefault="00EA44A4">
      <w:pPr>
        <w:spacing w:before="29"/>
        <w:ind w:left="3969" w:right="49"/>
        <w:jc w:val="both"/>
        <w:rPr>
          <w:rFonts w:ascii="Arial" w:eastAsia="Arial" w:hAnsi="Arial" w:cs="Arial"/>
          <w:sz w:val="22"/>
          <w:szCs w:val="22"/>
        </w:rPr>
      </w:pPr>
      <w:r w:rsidRPr="002139AB">
        <w:rPr>
          <w:rFonts w:ascii="Arial" w:eastAsia="Arial" w:hAnsi="Arial" w:cs="Arial"/>
          <w:b/>
          <w:sz w:val="22"/>
          <w:szCs w:val="22"/>
        </w:rPr>
        <w:t xml:space="preserve">EXPEDIENTE: </w:t>
      </w:r>
      <w:r w:rsidRPr="002139AB">
        <w:rPr>
          <w:rFonts w:ascii="Arial" w:eastAsia="Arial" w:hAnsi="Arial" w:cs="Arial"/>
          <w:sz w:val="22"/>
          <w:szCs w:val="22"/>
        </w:rPr>
        <w:t>TEEA-JDC-</w:t>
      </w:r>
      <w:r w:rsidR="00672CF2">
        <w:rPr>
          <w:rFonts w:ascii="Arial" w:eastAsia="Arial" w:hAnsi="Arial" w:cs="Arial"/>
          <w:sz w:val="22"/>
          <w:szCs w:val="22"/>
        </w:rPr>
        <w:t>122</w:t>
      </w:r>
      <w:r w:rsidRPr="002139AB">
        <w:rPr>
          <w:rFonts w:ascii="Arial" w:eastAsia="Arial" w:hAnsi="Arial" w:cs="Arial"/>
          <w:sz w:val="22"/>
          <w:szCs w:val="22"/>
        </w:rPr>
        <w:t>/2021.</w:t>
      </w:r>
    </w:p>
    <w:p w14:paraId="705501A0" w14:textId="77777777" w:rsidR="0028404C" w:rsidRPr="002139AB" w:rsidRDefault="0028404C">
      <w:pPr>
        <w:spacing w:before="29"/>
        <w:ind w:left="3969" w:right="49"/>
        <w:jc w:val="both"/>
        <w:rPr>
          <w:rFonts w:ascii="Arial" w:eastAsia="Arial" w:hAnsi="Arial" w:cs="Arial"/>
          <w:sz w:val="22"/>
          <w:szCs w:val="22"/>
        </w:rPr>
      </w:pPr>
    </w:p>
    <w:p w14:paraId="082C4559" w14:textId="3805402F" w:rsidR="0028404C" w:rsidRPr="002139AB" w:rsidRDefault="00EA44A4">
      <w:pPr>
        <w:ind w:left="3969" w:right="49"/>
        <w:jc w:val="both"/>
        <w:rPr>
          <w:rFonts w:ascii="Arial" w:eastAsia="Arial" w:hAnsi="Arial" w:cs="Arial"/>
          <w:sz w:val="22"/>
          <w:szCs w:val="22"/>
        </w:rPr>
      </w:pPr>
      <w:r w:rsidRPr="002139AB">
        <w:rPr>
          <w:rFonts w:ascii="Arial" w:eastAsia="Arial" w:hAnsi="Arial" w:cs="Arial"/>
          <w:b/>
          <w:sz w:val="22"/>
          <w:szCs w:val="22"/>
        </w:rPr>
        <w:t xml:space="preserve">PROMOVENTE: </w:t>
      </w:r>
      <w:r w:rsidRPr="002139AB">
        <w:rPr>
          <w:rFonts w:ascii="Arial" w:eastAsia="Arial" w:hAnsi="Arial" w:cs="Arial"/>
          <w:sz w:val="22"/>
          <w:szCs w:val="22"/>
        </w:rPr>
        <w:t xml:space="preserve">C. </w:t>
      </w:r>
      <w:r w:rsidR="00672CF2">
        <w:rPr>
          <w:rFonts w:ascii="Arial" w:eastAsia="Arial" w:hAnsi="Arial" w:cs="Arial"/>
          <w:sz w:val="22"/>
          <w:szCs w:val="22"/>
        </w:rPr>
        <w:t>Jesús Iván Macias González</w:t>
      </w:r>
      <w:r w:rsidR="0053309F" w:rsidRPr="002139AB">
        <w:rPr>
          <w:rFonts w:ascii="Arial" w:eastAsia="Arial" w:hAnsi="Arial" w:cs="Arial"/>
          <w:sz w:val="22"/>
          <w:szCs w:val="22"/>
        </w:rPr>
        <w:t>.</w:t>
      </w:r>
    </w:p>
    <w:p w14:paraId="256D224D" w14:textId="77777777" w:rsidR="0028404C" w:rsidRPr="002139AB" w:rsidRDefault="0028404C">
      <w:pPr>
        <w:ind w:left="3969" w:right="49"/>
        <w:jc w:val="both"/>
        <w:rPr>
          <w:rFonts w:ascii="Arial" w:eastAsia="Arial" w:hAnsi="Arial" w:cs="Arial"/>
          <w:sz w:val="22"/>
          <w:szCs w:val="22"/>
        </w:rPr>
      </w:pPr>
    </w:p>
    <w:p w14:paraId="66C9BBF0" w14:textId="0D7942DE" w:rsidR="0028404C" w:rsidRPr="002139AB" w:rsidRDefault="00EA44A4">
      <w:pPr>
        <w:ind w:left="3969" w:right="49"/>
        <w:jc w:val="both"/>
        <w:rPr>
          <w:rFonts w:ascii="Arial" w:eastAsia="Arial" w:hAnsi="Arial" w:cs="Arial"/>
          <w:sz w:val="22"/>
          <w:szCs w:val="22"/>
        </w:rPr>
      </w:pPr>
      <w:r w:rsidRPr="002139AB">
        <w:rPr>
          <w:rFonts w:ascii="Arial" w:eastAsia="Arial" w:hAnsi="Arial" w:cs="Arial"/>
          <w:b/>
          <w:sz w:val="22"/>
          <w:szCs w:val="22"/>
        </w:rPr>
        <w:t xml:space="preserve">AUTORIDAD RESPONSABLE: </w:t>
      </w:r>
      <w:r w:rsidR="00672CF2">
        <w:rPr>
          <w:rFonts w:ascii="Arial" w:eastAsia="Arial" w:hAnsi="Arial" w:cs="Arial"/>
          <w:sz w:val="22"/>
          <w:szCs w:val="22"/>
        </w:rPr>
        <w:t>Comité Ejecutivo Nacional; Comité Directivo Estatal; Comisión Permanente Nacional y Comisión Permanente Estatal del Partico Acción Nacional.</w:t>
      </w:r>
    </w:p>
    <w:p w14:paraId="643BC977" w14:textId="77777777" w:rsidR="0028404C" w:rsidRPr="002139AB" w:rsidRDefault="0028404C">
      <w:pPr>
        <w:spacing w:before="9" w:line="180" w:lineRule="auto"/>
        <w:ind w:left="3969" w:right="49"/>
        <w:jc w:val="both"/>
        <w:rPr>
          <w:rFonts w:ascii="Arial" w:eastAsia="Arial" w:hAnsi="Arial" w:cs="Arial"/>
          <w:sz w:val="22"/>
          <w:szCs w:val="22"/>
        </w:rPr>
      </w:pPr>
    </w:p>
    <w:p w14:paraId="64ACCDEB" w14:textId="77777777" w:rsidR="0028404C" w:rsidRPr="002139AB" w:rsidRDefault="00EA44A4">
      <w:pPr>
        <w:ind w:left="3969" w:right="49"/>
        <w:jc w:val="both"/>
        <w:rPr>
          <w:rFonts w:ascii="Arial" w:eastAsia="Arial" w:hAnsi="Arial" w:cs="Arial"/>
          <w:sz w:val="22"/>
          <w:szCs w:val="22"/>
        </w:rPr>
      </w:pPr>
      <w:r w:rsidRPr="002139AB">
        <w:rPr>
          <w:rFonts w:ascii="Arial" w:eastAsia="Arial" w:hAnsi="Arial" w:cs="Arial"/>
          <w:b/>
          <w:sz w:val="22"/>
          <w:szCs w:val="22"/>
        </w:rPr>
        <w:t xml:space="preserve">MAGISTRADO PONENTE: </w:t>
      </w:r>
      <w:r w:rsidRPr="002139AB">
        <w:rPr>
          <w:rFonts w:ascii="Arial" w:eastAsia="Arial" w:hAnsi="Arial" w:cs="Arial"/>
          <w:sz w:val="22"/>
          <w:szCs w:val="22"/>
        </w:rPr>
        <w:t>Héctor Salvador Hernández Gallegos.</w:t>
      </w:r>
    </w:p>
    <w:p w14:paraId="54649B98" w14:textId="77777777" w:rsidR="0028404C" w:rsidRPr="002139AB" w:rsidRDefault="0028404C">
      <w:pPr>
        <w:spacing w:before="2" w:line="200" w:lineRule="auto"/>
        <w:ind w:left="3969" w:right="49"/>
        <w:jc w:val="both"/>
        <w:rPr>
          <w:rFonts w:ascii="Arial" w:eastAsia="Arial" w:hAnsi="Arial" w:cs="Arial"/>
          <w:sz w:val="22"/>
          <w:szCs w:val="22"/>
        </w:rPr>
      </w:pPr>
    </w:p>
    <w:p w14:paraId="32B1ED49" w14:textId="77777777" w:rsidR="0028404C" w:rsidRPr="002139AB" w:rsidRDefault="00EA44A4">
      <w:pPr>
        <w:ind w:left="3969" w:right="49"/>
        <w:jc w:val="both"/>
        <w:rPr>
          <w:rFonts w:ascii="Arial" w:eastAsia="Arial" w:hAnsi="Arial" w:cs="Arial"/>
          <w:sz w:val="22"/>
          <w:szCs w:val="22"/>
        </w:rPr>
      </w:pPr>
      <w:r w:rsidRPr="002139AB">
        <w:rPr>
          <w:rFonts w:ascii="Arial" w:eastAsia="Arial" w:hAnsi="Arial" w:cs="Arial"/>
          <w:b/>
          <w:sz w:val="22"/>
          <w:szCs w:val="22"/>
        </w:rPr>
        <w:t xml:space="preserve">SECRETARIO DE ESTUDIO: </w:t>
      </w:r>
      <w:r w:rsidRPr="002139AB">
        <w:rPr>
          <w:rFonts w:ascii="Arial" w:eastAsia="Arial" w:hAnsi="Arial" w:cs="Arial"/>
          <w:sz w:val="22"/>
          <w:szCs w:val="22"/>
        </w:rPr>
        <w:t>Daniel Omar Gutiérrez Ruvalcaba.</w:t>
      </w:r>
    </w:p>
    <w:p w14:paraId="6EE8E5E7" w14:textId="77777777" w:rsidR="0028404C" w:rsidRPr="002139AB" w:rsidRDefault="0028404C">
      <w:pPr>
        <w:ind w:left="3969" w:right="49"/>
        <w:jc w:val="both"/>
        <w:rPr>
          <w:rFonts w:ascii="Arial" w:eastAsia="Arial" w:hAnsi="Arial" w:cs="Arial"/>
          <w:sz w:val="22"/>
          <w:szCs w:val="22"/>
        </w:rPr>
      </w:pPr>
    </w:p>
    <w:p w14:paraId="77C8CDB2" w14:textId="77777777" w:rsidR="0028404C" w:rsidRPr="002139AB" w:rsidRDefault="00EA44A4">
      <w:pPr>
        <w:ind w:left="3969" w:right="49"/>
        <w:jc w:val="both"/>
        <w:rPr>
          <w:rFonts w:ascii="Arial" w:eastAsia="Arial" w:hAnsi="Arial" w:cs="Arial"/>
          <w:sz w:val="22"/>
          <w:szCs w:val="22"/>
        </w:rPr>
      </w:pPr>
      <w:r w:rsidRPr="002139AB">
        <w:rPr>
          <w:rFonts w:ascii="Arial" w:eastAsia="Arial" w:hAnsi="Arial" w:cs="Arial"/>
          <w:b/>
          <w:sz w:val="22"/>
          <w:szCs w:val="22"/>
        </w:rPr>
        <w:t xml:space="preserve">SECRETARIOS JURÍDICOS: </w:t>
      </w:r>
      <w:r w:rsidRPr="002139AB">
        <w:rPr>
          <w:rFonts w:ascii="Arial" w:eastAsia="Arial" w:hAnsi="Arial" w:cs="Arial"/>
          <w:sz w:val="22"/>
          <w:szCs w:val="22"/>
        </w:rPr>
        <w:t>David Antonio Chávez Rosales y Tomas Huizar Jiménez.</w:t>
      </w:r>
    </w:p>
    <w:p w14:paraId="6D880C63" w14:textId="77777777" w:rsidR="0028404C" w:rsidRPr="002139AB" w:rsidRDefault="0028404C">
      <w:pPr>
        <w:ind w:left="4536" w:right="49"/>
        <w:jc w:val="both"/>
        <w:rPr>
          <w:rFonts w:ascii="Arial" w:eastAsia="Arial" w:hAnsi="Arial" w:cs="Arial"/>
          <w:sz w:val="22"/>
          <w:szCs w:val="22"/>
        </w:rPr>
      </w:pPr>
    </w:p>
    <w:p w14:paraId="5EAE325C" w14:textId="77777777" w:rsidR="00E6283A" w:rsidRDefault="00E6283A" w:rsidP="00E6283A">
      <w:pPr>
        <w:tabs>
          <w:tab w:val="left" w:pos="6521"/>
        </w:tabs>
        <w:spacing w:before="29"/>
        <w:rPr>
          <w:rFonts w:ascii="Arial" w:eastAsia="Arial" w:hAnsi="Arial" w:cs="Arial"/>
          <w:sz w:val="22"/>
          <w:szCs w:val="22"/>
        </w:rPr>
      </w:pPr>
    </w:p>
    <w:p w14:paraId="7ACF6B4C" w14:textId="3EA6DB0D" w:rsidR="0028404C" w:rsidRPr="002139AB" w:rsidRDefault="00EA44A4" w:rsidP="00E6283A">
      <w:pPr>
        <w:tabs>
          <w:tab w:val="left" w:pos="6521"/>
        </w:tabs>
        <w:spacing w:before="29"/>
        <w:rPr>
          <w:rFonts w:ascii="Arial" w:eastAsia="Arial" w:hAnsi="Arial" w:cs="Arial"/>
          <w:sz w:val="22"/>
          <w:szCs w:val="22"/>
        </w:rPr>
      </w:pPr>
      <w:r w:rsidRPr="002139AB">
        <w:rPr>
          <w:rFonts w:ascii="Arial" w:eastAsia="Arial" w:hAnsi="Arial" w:cs="Arial"/>
          <w:sz w:val="22"/>
          <w:szCs w:val="22"/>
        </w:rPr>
        <w:t xml:space="preserve">Aguascalientes, Aguascalientes a </w:t>
      </w:r>
      <w:r w:rsidR="0090765E">
        <w:rPr>
          <w:rFonts w:ascii="Arial" w:eastAsia="Arial" w:hAnsi="Arial" w:cs="Arial"/>
          <w:sz w:val="22"/>
          <w:szCs w:val="22"/>
        </w:rPr>
        <w:t>primero</w:t>
      </w:r>
      <w:r w:rsidR="0053309F" w:rsidRPr="002139AB">
        <w:rPr>
          <w:rFonts w:ascii="Arial" w:eastAsia="Arial" w:hAnsi="Arial" w:cs="Arial"/>
          <w:sz w:val="22"/>
          <w:szCs w:val="22"/>
        </w:rPr>
        <w:t xml:space="preserve"> de </w:t>
      </w:r>
      <w:r w:rsidR="00672CF2">
        <w:rPr>
          <w:rFonts w:ascii="Arial" w:eastAsia="Arial" w:hAnsi="Arial" w:cs="Arial"/>
          <w:sz w:val="22"/>
          <w:szCs w:val="22"/>
        </w:rPr>
        <w:t>junio</w:t>
      </w:r>
      <w:r w:rsidR="0053309F" w:rsidRPr="002139AB">
        <w:rPr>
          <w:rFonts w:ascii="Arial" w:eastAsia="Arial" w:hAnsi="Arial" w:cs="Arial"/>
          <w:sz w:val="22"/>
          <w:szCs w:val="22"/>
        </w:rPr>
        <w:t xml:space="preserve"> </w:t>
      </w:r>
      <w:r w:rsidRPr="002139AB">
        <w:rPr>
          <w:rFonts w:ascii="Arial" w:eastAsia="Arial" w:hAnsi="Arial" w:cs="Arial"/>
          <w:sz w:val="22"/>
          <w:szCs w:val="22"/>
        </w:rPr>
        <w:t>de dos mil veintiuno.</w:t>
      </w:r>
    </w:p>
    <w:p w14:paraId="02542DC3" w14:textId="77777777" w:rsidR="0028404C" w:rsidRPr="002139AB" w:rsidRDefault="0028404C">
      <w:pPr>
        <w:spacing w:line="200" w:lineRule="auto"/>
        <w:rPr>
          <w:rFonts w:ascii="Arial" w:eastAsia="Arial" w:hAnsi="Arial" w:cs="Arial"/>
          <w:sz w:val="22"/>
          <w:szCs w:val="22"/>
        </w:rPr>
      </w:pPr>
    </w:p>
    <w:p w14:paraId="726C3BB9" w14:textId="77777777" w:rsidR="0028404C" w:rsidRPr="002139AB" w:rsidRDefault="0028404C">
      <w:pPr>
        <w:spacing w:before="18" w:line="200" w:lineRule="auto"/>
        <w:rPr>
          <w:rFonts w:ascii="Arial" w:eastAsia="Arial" w:hAnsi="Arial" w:cs="Arial"/>
          <w:sz w:val="22"/>
          <w:szCs w:val="22"/>
        </w:rPr>
      </w:pPr>
    </w:p>
    <w:p w14:paraId="334DCEB5" w14:textId="77777777" w:rsidR="003E5AE3" w:rsidRPr="002139AB" w:rsidRDefault="00EA44A4" w:rsidP="003E5AE3">
      <w:pPr>
        <w:spacing w:line="360" w:lineRule="auto"/>
        <w:jc w:val="both"/>
        <w:rPr>
          <w:rFonts w:ascii="Arial" w:eastAsia="Arial" w:hAnsi="Arial" w:cs="Arial"/>
          <w:sz w:val="22"/>
          <w:szCs w:val="22"/>
        </w:rPr>
      </w:pPr>
      <w:r w:rsidRPr="002139AB">
        <w:rPr>
          <w:rFonts w:ascii="Arial" w:eastAsia="Arial" w:hAnsi="Arial" w:cs="Arial"/>
          <w:b/>
          <w:sz w:val="22"/>
          <w:szCs w:val="22"/>
        </w:rPr>
        <w:t xml:space="preserve">SENTENCIA DEFINITIVA, </w:t>
      </w:r>
      <w:r w:rsidRPr="002139AB">
        <w:rPr>
          <w:rFonts w:ascii="Arial" w:eastAsia="Arial" w:hAnsi="Arial" w:cs="Arial"/>
          <w:bCs/>
          <w:sz w:val="22"/>
          <w:szCs w:val="22"/>
        </w:rPr>
        <w:t>mediante</w:t>
      </w:r>
      <w:r w:rsidRPr="002139AB">
        <w:rPr>
          <w:rFonts w:ascii="Arial" w:eastAsia="Arial" w:hAnsi="Arial" w:cs="Arial"/>
          <w:sz w:val="22"/>
          <w:szCs w:val="22"/>
        </w:rPr>
        <w:t xml:space="preserve"> la que</w:t>
      </w:r>
      <w:r w:rsidR="00DA2246">
        <w:rPr>
          <w:rFonts w:ascii="Arial" w:eastAsia="Arial" w:hAnsi="Arial" w:cs="Arial"/>
          <w:sz w:val="22"/>
          <w:szCs w:val="22"/>
        </w:rPr>
        <w:t xml:space="preserve"> confirman </w:t>
      </w:r>
      <w:r w:rsidR="00DA2246" w:rsidRPr="00DA2246">
        <w:rPr>
          <w:rFonts w:ascii="Arial" w:eastAsia="Arial" w:hAnsi="Arial" w:cs="Arial"/>
          <w:sz w:val="22"/>
          <w:szCs w:val="22"/>
        </w:rPr>
        <w:t>en lo que fue materia de impugnación</w:t>
      </w:r>
      <w:r w:rsidR="003E5AE3">
        <w:rPr>
          <w:rFonts w:ascii="Arial" w:eastAsia="Arial" w:hAnsi="Arial" w:cs="Arial"/>
          <w:sz w:val="22"/>
          <w:szCs w:val="22"/>
        </w:rPr>
        <w:t xml:space="preserve"> </w:t>
      </w:r>
      <w:r w:rsidR="00DA2246">
        <w:rPr>
          <w:rFonts w:ascii="Arial" w:eastAsia="Arial" w:hAnsi="Arial" w:cs="Arial"/>
          <w:sz w:val="22"/>
          <w:szCs w:val="22"/>
        </w:rPr>
        <w:t xml:space="preserve">las providencias identificadas con las claves SG/354/2021, SG/355/2021, SG/357/2021 emitidas por el </w:t>
      </w:r>
      <w:proofErr w:type="gramStart"/>
      <w:r w:rsidR="00DA2246">
        <w:rPr>
          <w:rFonts w:ascii="Arial" w:eastAsia="Arial" w:hAnsi="Arial" w:cs="Arial"/>
          <w:sz w:val="22"/>
          <w:szCs w:val="22"/>
        </w:rPr>
        <w:t>Presidente</w:t>
      </w:r>
      <w:proofErr w:type="gramEnd"/>
      <w:r w:rsidR="00DA2246">
        <w:rPr>
          <w:rFonts w:ascii="Arial" w:eastAsia="Arial" w:hAnsi="Arial" w:cs="Arial"/>
          <w:sz w:val="22"/>
          <w:szCs w:val="22"/>
        </w:rPr>
        <w:t xml:space="preserve"> del Partido Acción Nacional y el acta de sesión extraordinaria NO. 005/CPE/2021 de la Comisión Permanente Estatal del Partido Acción Nacional</w:t>
      </w:r>
      <w:r w:rsidR="003E5AE3">
        <w:rPr>
          <w:rFonts w:ascii="Arial" w:eastAsia="Arial" w:hAnsi="Arial" w:cs="Arial"/>
          <w:sz w:val="22"/>
          <w:szCs w:val="22"/>
        </w:rPr>
        <w:t xml:space="preserve">, al considerarse que; </w:t>
      </w:r>
      <w:r w:rsidR="003E5AE3" w:rsidRPr="00797ADA">
        <w:rPr>
          <w:rFonts w:ascii="Arial" w:eastAsia="Arial" w:hAnsi="Arial" w:cs="Arial"/>
          <w:b/>
          <w:bCs/>
          <w:sz w:val="22"/>
          <w:szCs w:val="22"/>
        </w:rPr>
        <w:t>a)</w:t>
      </w:r>
      <w:r w:rsidR="003E5AE3">
        <w:rPr>
          <w:rFonts w:ascii="Arial" w:eastAsia="Arial" w:hAnsi="Arial" w:cs="Arial"/>
          <w:sz w:val="22"/>
          <w:szCs w:val="22"/>
        </w:rPr>
        <w:t xml:space="preserve"> No hay afectación para el actor al no publicarse las renuncias de las candidaturas, </w:t>
      </w:r>
      <w:r w:rsidR="003E5AE3" w:rsidRPr="00797ADA">
        <w:rPr>
          <w:rFonts w:ascii="Arial" w:eastAsia="Arial" w:hAnsi="Arial" w:cs="Arial"/>
          <w:b/>
          <w:bCs/>
          <w:sz w:val="22"/>
          <w:szCs w:val="22"/>
        </w:rPr>
        <w:t>b)</w:t>
      </w:r>
      <w:r w:rsidR="003E5AE3">
        <w:rPr>
          <w:rFonts w:ascii="Arial" w:eastAsia="Arial" w:hAnsi="Arial" w:cs="Arial"/>
          <w:sz w:val="22"/>
          <w:szCs w:val="22"/>
        </w:rPr>
        <w:t xml:space="preserve"> Si bien los efectos de la sentencia SM-JRC-065/2021, no son vinculantes al distrito XIV, el PAN tiene libertad para sustituir sus candidaturas ante la renuncia de éstas y </w:t>
      </w:r>
      <w:r w:rsidR="003E5AE3" w:rsidRPr="00797ADA">
        <w:rPr>
          <w:rFonts w:ascii="Arial" w:eastAsia="Arial" w:hAnsi="Arial" w:cs="Arial"/>
          <w:b/>
          <w:bCs/>
          <w:sz w:val="22"/>
          <w:szCs w:val="22"/>
        </w:rPr>
        <w:t>c)</w:t>
      </w:r>
      <w:r w:rsidR="003E5AE3">
        <w:rPr>
          <w:rFonts w:ascii="Arial" w:eastAsia="Arial" w:hAnsi="Arial" w:cs="Arial"/>
          <w:sz w:val="22"/>
          <w:szCs w:val="22"/>
        </w:rPr>
        <w:t xml:space="preserve"> Se justifica un procedimiento interno de selección sumarísimo. </w:t>
      </w:r>
    </w:p>
    <w:p w14:paraId="6B6A8BA3" w14:textId="7AADC406" w:rsidR="0028404C" w:rsidRPr="00644D39" w:rsidRDefault="0028404C" w:rsidP="00B200C6">
      <w:pPr>
        <w:pStyle w:val="Sinespaciado"/>
        <w:ind w:left="851" w:hanging="142"/>
        <w:rPr>
          <w:rFonts w:ascii="Arial" w:hAnsi="Arial" w:cs="Arial"/>
          <w:sz w:val="24"/>
          <w:szCs w:val="24"/>
          <w:highlight w:val="yellow"/>
          <w:lang w:val="es-ES"/>
        </w:rPr>
      </w:pPr>
    </w:p>
    <w:p w14:paraId="386EEA89" w14:textId="77777777" w:rsidR="0028404C" w:rsidRPr="00644D39" w:rsidRDefault="00EA44A4">
      <w:pPr>
        <w:spacing w:line="360" w:lineRule="auto"/>
        <w:jc w:val="center"/>
        <w:rPr>
          <w:rFonts w:ascii="Arial" w:eastAsia="Arial" w:hAnsi="Arial" w:cs="Arial"/>
          <w:b/>
        </w:rPr>
      </w:pPr>
      <w:r w:rsidRPr="00644D39">
        <w:rPr>
          <w:rFonts w:ascii="Arial" w:eastAsia="Arial" w:hAnsi="Arial" w:cs="Arial"/>
          <w:b/>
        </w:rPr>
        <w:t>GLOSARIO</w:t>
      </w:r>
    </w:p>
    <w:p w14:paraId="122858AC" w14:textId="77777777" w:rsidR="0028404C" w:rsidRPr="00644D39" w:rsidRDefault="0028404C">
      <w:pPr>
        <w:ind w:left="2465" w:right="2324" w:hanging="140"/>
        <w:jc w:val="center"/>
        <w:rPr>
          <w:rFonts w:ascii="Arial" w:eastAsia="Arial" w:hAnsi="Arial" w:cs="Arial"/>
          <w:b/>
        </w:rPr>
      </w:pPr>
    </w:p>
    <w:tbl>
      <w:tblPr>
        <w:tblStyle w:val="a"/>
        <w:tblW w:w="802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68"/>
        <w:gridCol w:w="5654"/>
      </w:tblGrid>
      <w:tr w:rsidR="0028404C" w:rsidRPr="00644D39" w14:paraId="6EB5F778" w14:textId="77777777">
        <w:trPr>
          <w:trHeight w:val="25"/>
          <w:jc w:val="center"/>
        </w:trPr>
        <w:tc>
          <w:tcPr>
            <w:tcW w:w="2368" w:type="dxa"/>
          </w:tcPr>
          <w:p w14:paraId="30DE7C3A" w14:textId="77777777" w:rsidR="0028404C" w:rsidRPr="00644D39" w:rsidRDefault="00EA44A4">
            <w:pPr>
              <w:jc w:val="both"/>
              <w:rPr>
                <w:rFonts w:ascii="Arial" w:eastAsia="Arial" w:hAnsi="Arial" w:cs="Arial"/>
                <w:b/>
              </w:rPr>
            </w:pPr>
            <w:r w:rsidRPr="00644D39">
              <w:rPr>
                <w:rFonts w:ascii="Arial" w:eastAsia="Arial" w:hAnsi="Arial" w:cs="Arial"/>
                <w:b/>
              </w:rPr>
              <w:t>Promovente:</w:t>
            </w:r>
          </w:p>
          <w:p w14:paraId="62508A52" w14:textId="77777777" w:rsidR="0028404C" w:rsidRPr="00644D39" w:rsidRDefault="0028404C">
            <w:pPr>
              <w:jc w:val="both"/>
              <w:rPr>
                <w:rFonts w:ascii="Arial" w:eastAsia="Arial" w:hAnsi="Arial" w:cs="Arial"/>
                <w:b/>
              </w:rPr>
            </w:pPr>
          </w:p>
          <w:p w14:paraId="47831BCC" w14:textId="2AF637D6" w:rsidR="00672CF2" w:rsidRDefault="00672CF2">
            <w:pPr>
              <w:jc w:val="both"/>
              <w:rPr>
                <w:rFonts w:ascii="Arial" w:eastAsia="Arial" w:hAnsi="Arial" w:cs="Arial"/>
                <w:b/>
              </w:rPr>
            </w:pPr>
            <w:r>
              <w:rPr>
                <w:rFonts w:ascii="Arial" w:eastAsia="Arial" w:hAnsi="Arial" w:cs="Arial"/>
                <w:b/>
              </w:rPr>
              <w:t>PAN:</w:t>
            </w:r>
          </w:p>
          <w:p w14:paraId="0050FE1E" w14:textId="77777777" w:rsidR="00672CF2" w:rsidRDefault="00672CF2">
            <w:pPr>
              <w:jc w:val="both"/>
              <w:rPr>
                <w:rFonts w:ascii="Arial" w:eastAsia="Arial" w:hAnsi="Arial" w:cs="Arial"/>
                <w:b/>
              </w:rPr>
            </w:pPr>
          </w:p>
          <w:p w14:paraId="32423884" w14:textId="7672A2FE" w:rsidR="0041576C" w:rsidRPr="00644D39" w:rsidRDefault="00743998">
            <w:pPr>
              <w:jc w:val="both"/>
              <w:rPr>
                <w:rFonts w:ascii="Arial" w:eastAsia="Arial" w:hAnsi="Arial" w:cs="Arial"/>
                <w:b/>
              </w:rPr>
            </w:pPr>
            <w:r>
              <w:rPr>
                <w:rFonts w:ascii="Arial" w:eastAsia="Arial" w:hAnsi="Arial" w:cs="Arial"/>
                <w:b/>
              </w:rPr>
              <w:t>IEE</w:t>
            </w:r>
            <w:r w:rsidR="00EA44A4" w:rsidRPr="00644D39">
              <w:rPr>
                <w:rFonts w:ascii="Arial" w:eastAsia="Arial" w:hAnsi="Arial" w:cs="Arial"/>
                <w:b/>
              </w:rPr>
              <w:t>:</w:t>
            </w:r>
          </w:p>
          <w:p w14:paraId="136494B6" w14:textId="77777777" w:rsidR="00584C6E" w:rsidRDefault="00584C6E">
            <w:pPr>
              <w:jc w:val="both"/>
              <w:rPr>
                <w:rFonts w:ascii="Arial" w:eastAsia="Arial" w:hAnsi="Arial" w:cs="Arial"/>
                <w:b/>
              </w:rPr>
            </w:pPr>
          </w:p>
          <w:p w14:paraId="1A9785FE" w14:textId="7261220F" w:rsidR="00743998" w:rsidRDefault="00743998">
            <w:pPr>
              <w:jc w:val="both"/>
              <w:rPr>
                <w:rFonts w:ascii="Arial" w:eastAsia="Arial" w:hAnsi="Arial" w:cs="Arial"/>
                <w:b/>
              </w:rPr>
            </w:pPr>
            <w:r>
              <w:rPr>
                <w:rFonts w:ascii="Arial" w:eastAsia="Arial" w:hAnsi="Arial" w:cs="Arial"/>
                <w:b/>
              </w:rPr>
              <w:t>Tribunal Electoral:</w:t>
            </w:r>
          </w:p>
          <w:p w14:paraId="490CDE6E" w14:textId="06E8691B" w:rsidR="0041576C" w:rsidRPr="00644D39" w:rsidRDefault="0041576C">
            <w:pPr>
              <w:jc w:val="both"/>
              <w:rPr>
                <w:rFonts w:ascii="Arial" w:eastAsia="Arial" w:hAnsi="Arial" w:cs="Arial"/>
                <w:b/>
              </w:rPr>
            </w:pPr>
          </w:p>
        </w:tc>
        <w:tc>
          <w:tcPr>
            <w:tcW w:w="5654" w:type="dxa"/>
          </w:tcPr>
          <w:p w14:paraId="3D438E4D" w14:textId="77777777" w:rsidR="00672CF2" w:rsidRDefault="00EA44A4">
            <w:pPr>
              <w:ind w:right="178"/>
              <w:jc w:val="both"/>
              <w:rPr>
                <w:rFonts w:ascii="Arial" w:eastAsia="Arial" w:hAnsi="Arial" w:cs="Arial"/>
              </w:rPr>
            </w:pPr>
            <w:r w:rsidRPr="00644D39">
              <w:rPr>
                <w:rFonts w:ascii="Arial" w:eastAsia="Arial" w:hAnsi="Arial" w:cs="Arial"/>
              </w:rPr>
              <w:t xml:space="preserve">C. </w:t>
            </w:r>
            <w:r w:rsidR="00672CF2">
              <w:rPr>
                <w:rFonts w:ascii="Arial" w:eastAsia="Arial" w:hAnsi="Arial" w:cs="Arial"/>
              </w:rPr>
              <w:t>Jesús Iván Macias González</w:t>
            </w:r>
          </w:p>
          <w:p w14:paraId="7AE5B166" w14:textId="77777777" w:rsidR="00672CF2" w:rsidRDefault="00672CF2">
            <w:pPr>
              <w:ind w:right="178"/>
              <w:jc w:val="both"/>
              <w:rPr>
                <w:rFonts w:ascii="Arial" w:eastAsia="Arial" w:hAnsi="Arial" w:cs="Arial"/>
              </w:rPr>
            </w:pPr>
          </w:p>
          <w:p w14:paraId="0DBDFB0E" w14:textId="426C4ABA" w:rsidR="0028404C" w:rsidRPr="00644D39" w:rsidRDefault="00672CF2">
            <w:pPr>
              <w:ind w:right="178"/>
              <w:jc w:val="both"/>
              <w:rPr>
                <w:rFonts w:ascii="Arial" w:eastAsia="Arial" w:hAnsi="Arial" w:cs="Arial"/>
              </w:rPr>
            </w:pPr>
            <w:r>
              <w:rPr>
                <w:rFonts w:ascii="Arial" w:eastAsia="Arial" w:hAnsi="Arial" w:cs="Arial"/>
              </w:rPr>
              <w:t>Partido Acción Nacional.</w:t>
            </w:r>
          </w:p>
          <w:p w14:paraId="4C54FA70" w14:textId="77777777" w:rsidR="0028404C" w:rsidRPr="00644D39" w:rsidRDefault="0028404C">
            <w:pPr>
              <w:ind w:right="178"/>
              <w:jc w:val="both"/>
              <w:rPr>
                <w:rFonts w:ascii="Arial" w:eastAsia="Arial" w:hAnsi="Arial" w:cs="Arial"/>
              </w:rPr>
            </w:pPr>
          </w:p>
          <w:p w14:paraId="731876EC" w14:textId="4FA754B5" w:rsidR="0028404C" w:rsidRPr="00644D39" w:rsidRDefault="00743998">
            <w:pPr>
              <w:ind w:right="178"/>
              <w:jc w:val="both"/>
              <w:rPr>
                <w:rFonts w:ascii="Arial" w:eastAsia="Arial" w:hAnsi="Arial" w:cs="Arial"/>
              </w:rPr>
            </w:pPr>
            <w:r>
              <w:rPr>
                <w:rFonts w:ascii="Arial" w:eastAsia="Arial" w:hAnsi="Arial" w:cs="Arial"/>
              </w:rPr>
              <w:t>Instituto Estatal Electoral.</w:t>
            </w:r>
          </w:p>
          <w:p w14:paraId="40CDD3F4" w14:textId="77777777" w:rsidR="00743998" w:rsidRDefault="00743998">
            <w:pPr>
              <w:ind w:right="178"/>
              <w:jc w:val="both"/>
              <w:rPr>
                <w:rFonts w:ascii="Arial" w:eastAsia="Arial" w:hAnsi="Arial" w:cs="Arial"/>
              </w:rPr>
            </w:pPr>
          </w:p>
          <w:p w14:paraId="1B358181" w14:textId="581080A4" w:rsidR="00743998" w:rsidRPr="00644D39" w:rsidRDefault="00743998">
            <w:pPr>
              <w:ind w:right="178"/>
              <w:jc w:val="both"/>
              <w:rPr>
                <w:rFonts w:ascii="Arial" w:eastAsia="Arial" w:hAnsi="Arial" w:cs="Arial"/>
              </w:rPr>
            </w:pPr>
            <w:r>
              <w:rPr>
                <w:rFonts w:ascii="Arial" w:eastAsia="Arial" w:hAnsi="Arial" w:cs="Arial"/>
              </w:rPr>
              <w:t>Tribunal Electoral del Estado de Aguascalientes.</w:t>
            </w:r>
          </w:p>
        </w:tc>
      </w:tr>
    </w:tbl>
    <w:p w14:paraId="178BD7B0" w14:textId="77777777" w:rsidR="00743998" w:rsidRPr="00743998" w:rsidRDefault="00743998" w:rsidP="00743998">
      <w:pPr>
        <w:pStyle w:val="Ttulo1"/>
        <w:keepLines w:val="0"/>
        <w:spacing w:before="0" w:line="360" w:lineRule="auto"/>
        <w:ind w:left="426"/>
        <w:jc w:val="both"/>
        <w:rPr>
          <w:rFonts w:ascii="Arial" w:eastAsia="Arial" w:hAnsi="Arial" w:cs="Arial"/>
          <w:b/>
          <w:bCs/>
          <w:color w:val="auto"/>
          <w:sz w:val="23"/>
          <w:szCs w:val="23"/>
          <w:highlight w:val="white"/>
        </w:rPr>
      </w:pPr>
      <w:bookmarkStart w:id="2" w:name="_Toc69406586"/>
    </w:p>
    <w:p w14:paraId="0F16BF8E" w14:textId="59F7EEAA" w:rsidR="0028404C" w:rsidRPr="002139AB" w:rsidRDefault="00B200C6" w:rsidP="00B200C6">
      <w:pPr>
        <w:pStyle w:val="Ttulo1"/>
        <w:keepLines w:val="0"/>
        <w:numPr>
          <w:ilvl w:val="0"/>
          <w:numId w:val="11"/>
        </w:numPr>
        <w:spacing w:before="0" w:line="360" w:lineRule="auto"/>
        <w:ind w:left="426" w:hanging="426"/>
        <w:jc w:val="both"/>
        <w:rPr>
          <w:rFonts w:ascii="Arial" w:eastAsia="Arial" w:hAnsi="Arial" w:cs="Arial"/>
          <w:b/>
          <w:bCs/>
          <w:color w:val="auto"/>
          <w:sz w:val="22"/>
          <w:szCs w:val="22"/>
          <w:highlight w:val="white"/>
        </w:rPr>
      </w:pPr>
      <w:r w:rsidRPr="002139AB">
        <w:rPr>
          <w:rFonts w:ascii="Arial" w:eastAsia="Times New Roman" w:hAnsi="Arial" w:cs="Arial"/>
          <w:b/>
          <w:bCs/>
          <w:color w:val="auto"/>
          <w:sz w:val="22"/>
          <w:szCs w:val="22"/>
        </w:rPr>
        <w:t>ANTECEDENTES</w:t>
      </w:r>
      <w:r w:rsidR="00EA44A4" w:rsidRPr="002139AB">
        <w:rPr>
          <w:rFonts w:ascii="Arial" w:eastAsia="Arial" w:hAnsi="Arial" w:cs="Arial"/>
          <w:b/>
          <w:bCs/>
          <w:color w:val="auto"/>
          <w:sz w:val="22"/>
          <w:szCs w:val="22"/>
          <w:highlight w:val="white"/>
          <w:vertAlign w:val="superscript"/>
        </w:rPr>
        <w:footnoteReference w:id="1"/>
      </w:r>
      <w:r w:rsidR="00EA44A4" w:rsidRPr="002139AB">
        <w:rPr>
          <w:rFonts w:ascii="Arial" w:eastAsia="Arial" w:hAnsi="Arial" w:cs="Arial"/>
          <w:b/>
          <w:bCs/>
          <w:color w:val="auto"/>
          <w:sz w:val="22"/>
          <w:szCs w:val="22"/>
          <w:highlight w:val="white"/>
        </w:rPr>
        <w:t>.</w:t>
      </w:r>
      <w:bookmarkEnd w:id="2"/>
    </w:p>
    <w:p w14:paraId="76BF63D4" w14:textId="77777777" w:rsidR="0028404C" w:rsidRPr="002139AB" w:rsidRDefault="0028404C">
      <w:pPr>
        <w:spacing w:line="360" w:lineRule="auto"/>
        <w:jc w:val="both"/>
        <w:rPr>
          <w:rFonts w:ascii="Arial" w:eastAsia="Arial" w:hAnsi="Arial" w:cs="Arial"/>
          <w:sz w:val="22"/>
          <w:szCs w:val="22"/>
          <w:highlight w:val="white"/>
        </w:rPr>
      </w:pPr>
    </w:p>
    <w:p w14:paraId="2765B387" w14:textId="77777777" w:rsidR="0028404C" w:rsidRPr="00A633FA" w:rsidRDefault="00EA44A4">
      <w:pPr>
        <w:shd w:val="clear" w:color="auto" w:fill="FFFFFF"/>
        <w:spacing w:line="360" w:lineRule="auto"/>
        <w:jc w:val="both"/>
        <w:rPr>
          <w:rFonts w:ascii="Arial" w:eastAsia="Arial" w:hAnsi="Arial" w:cs="Arial"/>
          <w:sz w:val="22"/>
          <w:szCs w:val="22"/>
          <w:highlight w:val="white"/>
        </w:rPr>
      </w:pPr>
      <w:r w:rsidRPr="00A633FA">
        <w:rPr>
          <w:rFonts w:ascii="Arial" w:eastAsia="Arial" w:hAnsi="Arial" w:cs="Arial"/>
          <w:sz w:val="22"/>
          <w:szCs w:val="22"/>
          <w:highlight w:val="white"/>
        </w:rPr>
        <w:t>De las constancias de autos y de las afirmaciones realizadas por las partes, se advierten los siguientes hechos relevantes.</w:t>
      </w:r>
    </w:p>
    <w:p w14:paraId="79843270" w14:textId="77777777" w:rsidR="00743998" w:rsidRPr="00A633FA" w:rsidRDefault="00743998" w:rsidP="0074399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F8FE0FB" w14:textId="7A8F418C" w:rsidR="00743998" w:rsidRPr="00A633FA" w:rsidRDefault="00743998" w:rsidP="00743998">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1fob9te" w:colFirst="0" w:colLast="0"/>
      <w:bookmarkEnd w:id="3"/>
      <w:r w:rsidRPr="00A633FA">
        <w:rPr>
          <w:rFonts w:ascii="Arial" w:eastAsia="Arial Nova" w:hAnsi="Arial" w:cs="Arial"/>
          <w:b/>
          <w:sz w:val="22"/>
          <w:szCs w:val="22"/>
        </w:rPr>
        <w:t xml:space="preserve">1.1. Proceso Electoral. </w:t>
      </w:r>
      <w:r w:rsidRPr="00A633FA">
        <w:rPr>
          <w:rFonts w:ascii="Arial" w:eastAsia="Arial Nova" w:hAnsi="Arial" w:cs="Arial"/>
          <w:bCs/>
          <w:sz w:val="22"/>
          <w:szCs w:val="22"/>
        </w:rPr>
        <w:t>El tres de noviembre de dos mil veinte, dio inicio el proceso electoral concurrente ordinario</w:t>
      </w:r>
      <w:r w:rsidR="00672CF2">
        <w:rPr>
          <w:rFonts w:ascii="Arial" w:eastAsia="Arial Nova" w:hAnsi="Arial" w:cs="Arial"/>
          <w:bCs/>
          <w:sz w:val="22"/>
          <w:szCs w:val="22"/>
        </w:rPr>
        <w:t xml:space="preserve"> 2020-2021</w:t>
      </w:r>
      <w:r w:rsidRPr="00A633FA">
        <w:rPr>
          <w:rFonts w:ascii="Arial" w:eastAsia="Arial Nova" w:hAnsi="Arial" w:cs="Arial"/>
          <w:bCs/>
          <w:sz w:val="22"/>
          <w:szCs w:val="22"/>
        </w:rPr>
        <w:t xml:space="preserve"> para la renovación de los Ayuntamientos y Diputaciones del Estado de Aguascalientes.</w:t>
      </w:r>
      <w:r w:rsidRPr="00A633FA">
        <w:rPr>
          <w:rFonts w:ascii="Arial" w:eastAsia="Arial Nova" w:hAnsi="Arial" w:cs="Arial"/>
          <w:b/>
          <w:sz w:val="22"/>
          <w:szCs w:val="22"/>
        </w:rPr>
        <w:t xml:space="preserve"> </w:t>
      </w:r>
    </w:p>
    <w:p w14:paraId="421D997E" w14:textId="74945812" w:rsidR="002139AB" w:rsidRDefault="00743998" w:rsidP="00743998">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A633FA">
        <w:rPr>
          <w:rFonts w:ascii="Arial" w:eastAsia="Arial Nova" w:hAnsi="Arial" w:cs="Arial"/>
          <w:b/>
          <w:sz w:val="22"/>
          <w:szCs w:val="22"/>
        </w:rPr>
        <w:lastRenderedPageBreak/>
        <w:t xml:space="preserve">1.2. </w:t>
      </w:r>
      <w:r w:rsidR="00672CF2">
        <w:rPr>
          <w:rFonts w:ascii="Arial" w:eastAsia="Arial Nova" w:hAnsi="Arial" w:cs="Arial"/>
          <w:b/>
          <w:sz w:val="22"/>
          <w:szCs w:val="22"/>
        </w:rPr>
        <w:t xml:space="preserve">Resolución Federal. </w:t>
      </w:r>
      <w:r w:rsidR="00672CF2" w:rsidRPr="00672CF2">
        <w:rPr>
          <w:rFonts w:ascii="Arial" w:eastAsia="Arial Nova" w:hAnsi="Arial" w:cs="Arial"/>
          <w:bCs/>
          <w:sz w:val="22"/>
          <w:szCs w:val="22"/>
        </w:rPr>
        <w:t>El catorce de mayo</w:t>
      </w:r>
      <w:r w:rsidR="00672CF2">
        <w:rPr>
          <w:rFonts w:ascii="Arial" w:eastAsia="Arial Nova" w:hAnsi="Arial" w:cs="Arial"/>
          <w:bCs/>
          <w:sz w:val="22"/>
          <w:szCs w:val="22"/>
        </w:rPr>
        <w:t>, la Sala Regional Monterrey del Tribunal Electoral del Poder Judicial de la Federación, declaró improcedentes diversos registros de candidatos a diputados locales postulados por la Coalición “Por Aguascalientes” en los distritos electorales XI, XV y XVII.</w:t>
      </w:r>
    </w:p>
    <w:p w14:paraId="47B3FA09" w14:textId="77777777" w:rsidR="00672CF2" w:rsidRPr="00672CF2" w:rsidRDefault="00672CF2" w:rsidP="00743998">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6E4F9B98" w14:textId="5F0FE533" w:rsidR="00743998" w:rsidRPr="005833FF" w:rsidRDefault="00743998" w:rsidP="0074399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1.3. </w:t>
      </w:r>
      <w:r w:rsidR="00672CF2">
        <w:rPr>
          <w:rFonts w:ascii="Arial" w:eastAsia="Arial Nova" w:hAnsi="Arial" w:cs="Arial"/>
          <w:b/>
          <w:sz w:val="22"/>
          <w:szCs w:val="22"/>
        </w:rPr>
        <w:t>Renuncias de Candidatos</w:t>
      </w:r>
      <w:r w:rsidRPr="005833FF">
        <w:rPr>
          <w:rFonts w:ascii="Arial" w:eastAsia="Arial Nova" w:hAnsi="Arial" w:cs="Arial"/>
          <w:b/>
          <w:sz w:val="22"/>
          <w:szCs w:val="22"/>
        </w:rPr>
        <w:t xml:space="preserve">. </w:t>
      </w:r>
      <w:r w:rsidR="00672CF2">
        <w:rPr>
          <w:rFonts w:ascii="Arial" w:eastAsia="Arial Nova" w:hAnsi="Arial" w:cs="Arial"/>
          <w:sz w:val="22"/>
          <w:szCs w:val="22"/>
        </w:rPr>
        <w:t>El dieciséis de mayo, en las oficinas del Comité Directivo Estatal del PAN, fueron presentadas las renuncias de los candidatos registrados a los cargos de diputado local por el distrito XIV, así como las candidaturas a las primeras posiciones de la lista de regidurías por ambos principios en el Municipio de Aguascalientes.</w:t>
      </w:r>
    </w:p>
    <w:p w14:paraId="7F1105A2" w14:textId="77777777" w:rsidR="00743998" w:rsidRPr="005833FF" w:rsidRDefault="00743998" w:rsidP="0074399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B121BF3" w14:textId="2A8FA6C9" w:rsidR="00743998" w:rsidRDefault="00743998" w:rsidP="0074399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1.4. </w:t>
      </w:r>
      <w:r w:rsidR="0012746D">
        <w:rPr>
          <w:rFonts w:ascii="Arial" w:eastAsia="Arial Nova" w:hAnsi="Arial" w:cs="Arial"/>
          <w:b/>
          <w:sz w:val="22"/>
          <w:szCs w:val="22"/>
        </w:rPr>
        <w:t>Providencias de invitación</w:t>
      </w:r>
      <w:r w:rsidRPr="005833FF">
        <w:rPr>
          <w:rFonts w:ascii="Arial" w:eastAsia="Arial Nova" w:hAnsi="Arial" w:cs="Arial"/>
          <w:b/>
          <w:sz w:val="22"/>
          <w:szCs w:val="22"/>
        </w:rPr>
        <w:t>.</w:t>
      </w:r>
      <w:r w:rsidRPr="005833FF">
        <w:rPr>
          <w:rFonts w:ascii="Arial" w:eastAsia="Arial Nova" w:hAnsi="Arial" w:cs="Arial"/>
          <w:sz w:val="22"/>
          <w:szCs w:val="22"/>
        </w:rPr>
        <w:t xml:space="preserve"> El </w:t>
      </w:r>
      <w:r w:rsidR="0012746D">
        <w:rPr>
          <w:rFonts w:ascii="Arial" w:eastAsia="Arial Nova" w:hAnsi="Arial" w:cs="Arial"/>
          <w:sz w:val="22"/>
          <w:szCs w:val="22"/>
        </w:rPr>
        <w:t>dieciséis de mayo, a las dieciséis horas, se publicó en estrados del Comité Ejecutivo Nacional del PAN, las providencias</w:t>
      </w:r>
      <w:r w:rsidR="0012746D">
        <w:rPr>
          <w:rStyle w:val="Refdenotaalpie"/>
          <w:rFonts w:ascii="Arial" w:eastAsia="Arial Nova" w:hAnsi="Arial" w:cs="Arial"/>
          <w:sz w:val="22"/>
          <w:szCs w:val="22"/>
        </w:rPr>
        <w:footnoteReference w:id="2"/>
      </w:r>
      <w:r w:rsidR="0012746D">
        <w:rPr>
          <w:rFonts w:ascii="Arial" w:eastAsia="Arial Nova" w:hAnsi="Arial" w:cs="Arial"/>
          <w:sz w:val="22"/>
          <w:szCs w:val="22"/>
        </w:rPr>
        <w:t xml:space="preserve"> identificadas con la clave SG/355/2021; luego a las veintidós horas, se publicó la fe de erratas</w:t>
      </w:r>
      <w:r w:rsidR="0012746D">
        <w:rPr>
          <w:rStyle w:val="Refdenotaalpie"/>
          <w:rFonts w:ascii="Arial" w:eastAsia="Arial Nova" w:hAnsi="Arial" w:cs="Arial"/>
          <w:sz w:val="22"/>
          <w:szCs w:val="22"/>
        </w:rPr>
        <w:footnoteReference w:id="3"/>
      </w:r>
      <w:r w:rsidR="0012746D">
        <w:rPr>
          <w:rFonts w:ascii="Arial" w:eastAsia="Arial Nova" w:hAnsi="Arial" w:cs="Arial"/>
          <w:sz w:val="22"/>
          <w:szCs w:val="22"/>
        </w:rPr>
        <w:t xml:space="preserve"> identificada con la clave SG/354/2021.</w:t>
      </w:r>
    </w:p>
    <w:p w14:paraId="22EE08BD" w14:textId="20D1F57B" w:rsidR="0012746D" w:rsidRDefault="0012746D" w:rsidP="0074399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6380414" w14:textId="4C67B917" w:rsidR="0012746D" w:rsidRDefault="0012746D" w:rsidP="0012746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5</w:t>
      </w:r>
      <w:r w:rsidRPr="005833FF">
        <w:rPr>
          <w:rFonts w:ascii="Arial" w:eastAsia="Arial Nova" w:hAnsi="Arial" w:cs="Arial"/>
          <w:b/>
          <w:sz w:val="22"/>
          <w:szCs w:val="22"/>
        </w:rPr>
        <w:t xml:space="preserve">. </w:t>
      </w:r>
      <w:r>
        <w:rPr>
          <w:rFonts w:ascii="Arial" w:eastAsia="Arial Nova" w:hAnsi="Arial" w:cs="Arial"/>
          <w:b/>
          <w:sz w:val="22"/>
          <w:szCs w:val="22"/>
        </w:rPr>
        <w:t>Providencias de designación</w:t>
      </w:r>
      <w:r w:rsidRPr="005833FF">
        <w:rPr>
          <w:rFonts w:ascii="Arial" w:eastAsia="Arial Nova" w:hAnsi="Arial" w:cs="Arial"/>
          <w:b/>
          <w:sz w:val="22"/>
          <w:szCs w:val="22"/>
        </w:rPr>
        <w:t>.</w:t>
      </w:r>
      <w:r w:rsidRPr="005833FF">
        <w:rPr>
          <w:rFonts w:ascii="Arial" w:eastAsia="Arial Nova" w:hAnsi="Arial" w:cs="Arial"/>
          <w:sz w:val="22"/>
          <w:szCs w:val="22"/>
        </w:rPr>
        <w:t xml:space="preserve"> El </w:t>
      </w:r>
      <w:r>
        <w:rPr>
          <w:rFonts w:ascii="Arial" w:eastAsia="Arial Nova" w:hAnsi="Arial" w:cs="Arial"/>
          <w:sz w:val="22"/>
          <w:szCs w:val="22"/>
        </w:rPr>
        <w:t>diecisiete de mayo, se publicó en estrados del Comité Ejecutivo Nacional del PAN, las providencias</w:t>
      </w:r>
      <w:r>
        <w:rPr>
          <w:rStyle w:val="Refdenotaalpie"/>
          <w:rFonts w:ascii="Arial" w:eastAsia="Arial Nova" w:hAnsi="Arial" w:cs="Arial"/>
          <w:sz w:val="22"/>
          <w:szCs w:val="22"/>
        </w:rPr>
        <w:footnoteReference w:id="4"/>
      </w:r>
      <w:r>
        <w:rPr>
          <w:rFonts w:ascii="Arial" w:eastAsia="Arial Nova" w:hAnsi="Arial" w:cs="Arial"/>
          <w:sz w:val="22"/>
          <w:szCs w:val="22"/>
        </w:rPr>
        <w:t xml:space="preserve"> identificadas con la clave SG/35</w:t>
      </w:r>
      <w:r w:rsidR="00947AFE">
        <w:rPr>
          <w:rFonts w:ascii="Arial" w:eastAsia="Arial Nova" w:hAnsi="Arial" w:cs="Arial"/>
          <w:sz w:val="22"/>
          <w:szCs w:val="22"/>
        </w:rPr>
        <w:t>7</w:t>
      </w:r>
      <w:r>
        <w:rPr>
          <w:rFonts w:ascii="Arial" w:eastAsia="Arial Nova" w:hAnsi="Arial" w:cs="Arial"/>
          <w:sz w:val="22"/>
          <w:szCs w:val="22"/>
        </w:rPr>
        <w:t>/2021</w:t>
      </w:r>
      <w:r w:rsidR="00947AFE">
        <w:rPr>
          <w:rFonts w:ascii="Arial" w:eastAsia="Arial Nova" w:hAnsi="Arial" w:cs="Arial"/>
          <w:sz w:val="22"/>
          <w:szCs w:val="22"/>
        </w:rPr>
        <w:t>, mediante la cual se designó a Luis Enrique García López y Francisco Sánchez Esparza como integrantes de la formular postulada por el PAN en el distrito electoral XIV dentro del presente proceso electoral.</w:t>
      </w:r>
    </w:p>
    <w:p w14:paraId="580A220D" w14:textId="77777777"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7C937CC" w14:textId="54D35193"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6</w:t>
      </w:r>
      <w:r w:rsidRPr="005833FF">
        <w:rPr>
          <w:rFonts w:ascii="Arial" w:eastAsia="Arial Nova" w:hAnsi="Arial" w:cs="Arial"/>
          <w:b/>
          <w:sz w:val="22"/>
          <w:szCs w:val="22"/>
        </w:rPr>
        <w:t xml:space="preserve">. </w:t>
      </w:r>
      <w:r>
        <w:rPr>
          <w:rFonts w:ascii="Arial" w:eastAsia="Arial Nova" w:hAnsi="Arial" w:cs="Arial"/>
          <w:b/>
          <w:sz w:val="22"/>
          <w:szCs w:val="22"/>
        </w:rPr>
        <w:t>Acta de sesión</w:t>
      </w:r>
      <w:r w:rsidRPr="005833FF">
        <w:rPr>
          <w:rFonts w:ascii="Arial" w:eastAsia="Arial Nova" w:hAnsi="Arial" w:cs="Arial"/>
          <w:b/>
          <w:sz w:val="22"/>
          <w:szCs w:val="22"/>
        </w:rPr>
        <w:t>.</w:t>
      </w:r>
      <w:r w:rsidRPr="005833FF">
        <w:rPr>
          <w:rFonts w:ascii="Arial" w:eastAsia="Arial Nova" w:hAnsi="Arial" w:cs="Arial"/>
          <w:sz w:val="22"/>
          <w:szCs w:val="22"/>
        </w:rPr>
        <w:t xml:space="preserve"> El </w:t>
      </w:r>
      <w:r>
        <w:rPr>
          <w:rFonts w:ascii="Arial" w:eastAsia="Arial Nova" w:hAnsi="Arial" w:cs="Arial"/>
          <w:sz w:val="22"/>
          <w:szCs w:val="22"/>
        </w:rPr>
        <w:t>diecisiete de mayo, se publicó en estrados del Comité Ejecutivo Nacional del PAN, el documento que contiene el “ACTA DE LA SESIÓN EXTRAORDINARIA NO. 005/CPE/2021 DE LA COMISIÓN PERMANENTE ESTTAL DEL VIERNES 17 DE MAYO DE 2021”</w:t>
      </w:r>
    </w:p>
    <w:p w14:paraId="49ED4506" w14:textId="7466F394"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407E4D3" w14:textId="66D6000E"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7</w:t>
      </w:r>
      <w:r w:rsidRPr="005833FF">
        <w:rPr>
          <w:rFonts w:ascii="Arial" w:eastAsia="Arial Nova" w:hAnsi="Arial" w:cs="Arial"/>
          <w:b/>
          <w:sz w:val="22"/>
          <w:szCs w:val="22"/>
        </w:rPr>
        <w:t xml:space="preserve">. </w:t>
      </w:r>
      <w:r>
        <w:rPr>
          <w:rFonts w:ascii="Arial" w:eastAsia="Arial Nova" w:hAnsi="Arial" w:cs="Arial"/>
          <w:b/>
          <w:sz w:val="22"/>
          <w:szCs w:val="22"/>
        </w:rPr>
        <w:t>Juicio Ciudadano</w:t>
      </w:r>
      <w:r w:rsidRPr="005833FF">
        <w:rPr>
          <w:rFonts w:ascii="Arial" w:eastAsia="Arial Nova" w:hAnsi="Arial" w:cs="Arial"/>
          <w:b/>
          <w:sz w:val="22"/>
          <w:szCs w:val="22"/>
        </w:rPr>
        <w:t>.</w:t>
      </w:r>
      <w:r w:rsidRPr="005833FF">
        <w:rPr>
          <w:rFonts w:ascii="Arial" w:eastAsia="Arial Nova" w:hAnsi="Arial" w:cs="Arial"/>
          <w:sz w:val="22"/>
          <w:szCs w:val="22"/>
        </w:rPr>
        <w:t xml:space="preserve"> </w:t>
      </w:r>
      <w:r>
        <w:rPr>
          <w:rFonts w:ascii="Arial" w:eastAsia="Arial Nova" w:hAnsi="Arial" w:cs="Arial"/>
          <w:sz w:val="22"/>
          <w:szCs w:val="22"/>
        </w:rPr>
        <w:t xml:space="preserve">El veinte de mayo, inconforme con las actuaciones establecidas en numerales anteriores, el promovente interpuso </w:t>
      </w:r>
      <w:r w:rsidR="00E6283A">
        <w:rPr>
          <w:rFonts w:ascii="Arial" w:eastAsia="Arial Nova" w:hAnsi="Arial" w:cs="Arial"/>
          <w:sz w:val="22"/>
          <w:szCs w:val="22"/>
        </w:rPr>
        <w:t xml:space="preserve">vía per saltum </w:t>
      </w:r>
      <w:r>
        <w:rPr>
          <w:rFonts w:ascii="Arial" w:eastAsia="Arial Nova" w:hAnsi="Arial" w:cs="Arial"/>
          <w:sz w:val="22"/>
          <w:szCs w:val="22"/>
        </w:rPr>
        <w:t>ante este Tribunal Electoral, el Juicio para la Protección de los Derechos Político Electorales de la Ciudadanía de mérito.</w:t>
      </w:r>
    </w:p>
    <w:p w14:paraId="7E9E4B7C" w14:textId="1FEDF489"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86059E3" w14:textId="6CE34D27"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8</w:t>
      </w:r>
      <w:r w:rsidRPr="005833FF">
        <w:rPr>
          <w:rFonts w:ascii="Arial" w:eastAsia="Arial Nova" w:hAnsi="Arial" w:cs="Arial"/>
          <w:b/>
          <w:sz w:val="22"/>
          <w:szCs w:val="22"/>
        </w:rPr>
        <w:t xml:space="preserve">. </w:t>
      </w:r>
      <w:r>
        <w:rPr>
          <w:rFonts w:ascii="Arial" w:eastAsia="Arial Nova" w:hAnsi="Arial" w:cs="Arial"/>
          <w:b/>
          <w:sz w:val="22"/>
          <w:szCs w:val="22"/>
        </w:rPr>
        <w:t>Turno y Requerimiento</w:t>
      </w:r>
      <w:r w:rsidRPr="005833FF">
        <w:rPr>
          <w:rFonts w:ascii="Arial" w:eastAsia="Arial Nova" w:hAnsi="Arial" w:cs="Arial"/>
          <w:b/>
          <w:sz w:val="22"/>
          <w:szCs w:val="22"/>
        </w:rPr>
        <w:t>.</w:t>
      </w:r>
      <w:r w:rsidRPr="005833FF">
        <w:rPr>
          <w:rFonts w:ascii="Arial" w:eastAsia="Arial Nova" w:hAnsi="Arial" w:cs="Arial"/>
          <w:sz w:val="22"/>
          <w:szCs w:val="22"/>
        </w:rPr>
        <w:t xml:space="preserve"> </w:t>
      </w:r>
      <w:r w:rsidR="00A46BB5">
        <w:rPr>
          <w:rFonts w:ascii="Arial" w:eastAsia="Arial Nova" w:hAnsi="Arial" w:cs="Arial"/>
          <w:sz w:val="22"/>
          <w:szCs w:val="22"/>
        </w:rPr>
        <w:t xml:space="preserve">El veintiuno de mayo, la Magistrada </w:t>
      </w:r>
      <w:proofErr w:type="gramStart"/>
      <w:r w:rsidR="00A46BB5">
        <w:rPr>
          <w:rFonts w:ascii="Arial" w:eastAsia="Arial Nova" w:hAnsi="Arial" w:cs="Arial"/>
          <w:sz w:val="22"/>
          <w:szCs w:val="22"/>
        </w:rPr>
        <w:t>Presidenta</w:t>
      </w:r>
      <w:proofErr w:type="gramEnd"/>
      <w:r w:rsidR="00A46BB5">
        <w:rPr>
          <w:rFonts w:ascii="Arial" w:eastAsia="Arial Nova" w:hAnsi="Arial" w:cs="Arial"/>
          <w:sz w:val="22"/>
          <w:szCs w:val="22"/>
        </w:rPr>
        <w:t xml:space="preserve"> del Tribunal Electoral, ordeno integrar el expediente y registrarlo con la clave TEEA-JDC-122/2021, posteriormente turno los autos a la ponencia del Magistrado Héctor Salvador Hernández Gallegos y por último ordenó remitir la demanda a las responsables para que efectuaran el trámite correspondiente.</w:t>
      </w:r>
    </w:p>
    <w:p w14:paraId="09EA073A" w14:textId="77777777" w:rsidR="0088441A" w:rsidRDefault="0088441A" w:rsidP="0088441A">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lastRenderedPageBreak/>
        <w:t>1.</w:t>
      </w:r>
      <w:r>
        <w:rPr>
          <w:rFonts w:ascii="Arial" w:eastAsia="Arial Nova" w:hAnsi="Arial" w:cs="Arial"/>
          <w:b/>
          <w:sz w:val="22"/>
          <w:szCs w:val="22"/>
        </w:rPr>
        <w:t>9</w:t>
      </w:r>
      <w:r w:rsidRPr="005833FF">
        <w:rPr>
          <w:rFonts w:ascii="Arial" w:eastAsia="Arial Nova" w:hAnsi="Arial" w:cs="Arial"/>
          <w:b/>
          <w:sz w:val="22"/>
          <w:szCs w:val="22"/>
        </w:rPr>
        <w:t xml:space="preserve">. </w:t>
      </w:r>
      <w:r>
        <w:rPr>
          <w:rFonts w:ascii="Arial" w:eastAsia="Arial Nova" w:hAnsi="Arial" w:cs="Arial"/>
          <w:b/>
          <w:sz w:val="22"/>
          <w:szCs w:val="22"/>
        </w:rPr>
        <w:t>Trámite de la responsable</w:t>
      </w:r>
      <w:r w:rsidRPr="005833FF">
        <w:rPr>
          <w:rFonts w:ascii="Arial" w:eastAsia="Arial Nova" w:hAnsi="Arial" w:cs="Arial"/>
          <w:b/>
          <w:sz w:val="22"/>
          <w:szCs w:val="22"/>
        </w:rPr>
        <w:t>.</w:t>
      </w:r>
      <w:r w:rsidRPr="005833FF">
        <w:rPr>
          <w:rFonts w:ascii="Arial" w:eastAsia="Arial Nova" w:hAnsi="Arial" w:cs="Arial"/>
          <w:sz w:val="22"/>
          <w:szCs w:val="22"/>
        </w:rPr>
        <w:t xml:space="preserve"> </w:t>
      </w:r>
      <w:r>
        <w:rPr>
          <w:rFonts w:ascii="Arial" w:eastAsia="Arial Nova" w:hAnsi="Arial" w:cs="Arial"/>
          <w:sz w:val="22"/>
          <w:szCs w:val="22"/>
        </w:rPr>
        <w:t xml:space="preserve">El veinticinco de mayo, se recibió en la Oficialía de Partes de este Tribunal Electoral, la totalidad de las constancias relativas al juicio de mérito derivadas del </w:t>
      </w:r>
      <w:proofErr w:type="spellStart"/>
      <w:r>
        <w:rPr>
          <w:rFonts w:ascii="Arial" w:eastAsia="Arial Nova" w:hAnsi="Arial" w:cs="Arial"/>
          <w:sz w:val="22"/>
          <w:szCs w:val="22"/>
        </w:rPr>
        <w:t>tramite</w:t>
      </w:r>
      <w:proofErr w:type="spellEnd"/>
      <w:r>
        <w:rPr>
          <w:rFonts w:ascii="Arial" w:eastAsia="Arial Nova" w:hAnsi="Arial" w:cs="Arial"/>
          <w:sz w:val="22"/>
          <w:szCs w:val="22"/>
        </w:rPr>
        <w:t xml:space="preserve"> legal de la autoridad responsable.</w:t>
      </w:r>
    </w:p>
    <w:p w14:paraId="7DBCB1D3" w14:textId="1222B786"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4DAFA90" w14:textId="32D9C622" w:rsidR="00947AFE" w:rsidRDefault="00947AFE"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10</w:t>
      </w:r>
      <w:r w:rsidRPr="005833FF">
        <w:rPr>
          <w:rFonts w:ascii="Arial" w:eastAsia="Arial Nova" w:hAnsi="Arial" w:cs="Arial"/>
          <w:b/>
          <w:sz w:val="22"/>
          <w:szCs w:val="22"/>
        </w:rPr>
        <w:t xml:space="preserve">. </w:t>
      </w:r>
      <w:r>
        <w:rPr>
          <w:rFonts w:ascii="Arial" w:eastAsia="Arial Nova" w:hAnsi="Arial" w:cs="Arial"/>
          <w:b/>
          <w:sz w:val="22"/>
          <w:szCs w:val="22"/>
        </w:rPr>
        <w:t>Radicación, Admisión y Cierre</w:t>
      </w:r>
      <w:r w:rsidRPr="005833FF">
        <w:rPr>
          <w:rFonts w:ascii="Arial" w:eastAsia="Arial Nova" w:hAnsi="Arial" w:cs="Arial"/>
          <w:b/>
          <w:sz w:val="22"/>
          <w:szCs w:val="22"/>
        </w:rPr>
        <w:t>.</w:t>
      </w:r>
      <w:r w:rsidRPr="005833FF">
        <w:rPr>
          <w:rFonts w:ascii="Arial" w:eastAsia="Arial Nova" w:hAnsi="Arial" w:cs="Arial"/>
          <w:sz w:val="22"/>
          <w:szCs w:val="22"/>
        </w:rPr>
        <w:t xml:space="preserve"> </w:t>
      </w:r>
      <w:r w:rsidR="00A46BB5">
        <w:rPr>
          <w:rFonts w:ascii="Arial" w:eastAsia="Arial Nova" w:hAnsi="Arial" w:cs="Arial"/>
          <w:sz w:val="22"/>
          <w:szCs w:val="22"/>
        </w:rPr>
        <w:t>En su oportunidad, el Magistrado Instructor radicó el expediente, admitió la demanda y declaro cerrada la instrucción.</w:t>
      </w:r>
    </w:p>
    <w:p w14:paraId="6792DF24" w14:textId="77777777" w:rsidR="00DA2246" w:rsidRDefault="00DA2246" w:rsidP="00947AF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EFCB875" w14:textId="234FB03E" w:rsidR="0028404C" w:rsidRPr="002139AB" w:rsidRDefault="00B200C6" w:rsidP="00B200C6">
      <w:pPr>
        <w:pStyle w:val="Ttulo1"/>
        <w:keepLines w:val="0"/>
        <w:numPr>
          <w:ilvl w:val="0"/>
          <w:numId w:val="12"/>
        </w:numPr>
        <w:spacing w:before="0" w:line="360" w:lineRule="auto"/>
        <w:ind w:left="284"/>
        <w:jc w:val="both"/>
        <w:rPr>
          <w:rFonts w:ascii="Arial" w:eastAsia="Arial" w:hAnsi="Arial" w:cs="Arial"/>
          <w:b/>
          <w:bCs/>
          <w:color w:val="auto"/>
          <w:sz w:val="22"/>
          <w:szCs w:val="22"/>
          <w:highlight w:val="white"/>
        </w:rPr>
      </w:pPr>
      <w:bookmarkStart w:id="4" w:name="_Toc69406587"/>
      <w:r w:rsidRPr="002139AB">
        <w:rPr>
          <w:rFonts w:ascii="Arial" w:eastAsia="Times New Roman" w:hAnsi="Arial" w:cs="Arial"/>
          <w:b/>
          <w:bCs/>
          <w:color w:val="auto"/>
          <w:sz w:val="22"/>
          <w:szCs w:val="22"/>
        </w:rPr>
        <w:t>CONSIDERANDOS</w:t>
      </w:r>
      <w:r w:rsidR="00EA44A4" w:rsidRPr="002139AB">
        <w:rPr>
          <w:rFonts w:ascii="Arial" w:eastAsia="Arial" w:hAnsi="Arial" w:cs="Arial"/>
          <w:b/>
          <w:bCs/>
          <w:color w:val="auto"/>
          <w:sz w:val="22"/>
          <w:szCs w:val="22"/>
        </w:rPr>
        <w:t>.</w:t>
      </w:r>
      <w:bookmarkEnd w:id="4"/>
      <w:r w:rsidR="00EA44A4" w:rsidRPr="002139AB">
        <w:rPr>
          <w:rFonts w:ascii="Arial" w:eastAsia="Arial" w:hAnsi="Arial" w:cs="Arial"/>
          <w:b/>
          <w:bCs/>
          <w:color w:val="auto"/>
          <w:sz w:val="22"/>
          <w:szCs w:val="22"/>
        </w:rPr>
        <w:t xml:space="preserve"> </w:t>
      </w:r>
    </w:p>
    <w:p w14:paraId="103D1003" w14:textId="77777777" w:rsidR="0028404C" w:rsidRPr="002139AB" w:rsidRDefault="0028404C" w:rsidP="00B200C6">
      <w:pPr>
        <w:pStyle w:val="Sinespaciado"/>
        <w:rPr>
          <w:rFonts w:eastAsia="Arial"/>
          <w:sz w:val="22"/>
          <w:szCs w:val="22"/>
        </w:rPr>
      </w:pPr>
    </w:p>
    <w:p w14:paraId="0D9F2F80" w14:textId="6CD816B7" w:rsidR="001C4ECF" w:rsidRPr="002139AB" w:rsidRDefault="00EA44A4">
      <w:pPr>
        <w:pBdr>
          <w:top w:val="nil"/>
          <w:left w:val="nil"/>
          <w:bottom w:val="nil"/>
          <w:right w:val="nil"/>
          <w:between w:val="nil"/>
        </w:pBdr>
        <w:tabs>
          <w:tab w:val="center" w:pos="4819"/>
        </w:tabs>
        <w:spacing w:line="360" w:lineRule="auto"/>
        <w:ind w:right="49"/>
        <w:jc w:val="both"/>
        <w:rPr>
          <w:rFonts w:ascii="Arial" w:eastAsia="Arial" w:hAnsi="Arial" w:cs="Arial"/>
          <w:sz w:val="22"/>
          <w:szCs w:val="22"/>
        </w:rPr>
      </w:pPr>
      <w:r w:rsidRPr="002139AB">
        <w:rPr>
          <w:rFonts w:ascii="Arial" w:eastAsia="Arial" w:hAnsi="Arial" w:cs="Arial"/>
          <w:b/>
          <w:sz w:val="22"/>
          <w:szCs w:val="22"/>
        </w:rPr>
        <w:t>2.1 Competencia</w:t>
      </w:r>
      <w:r w:rsidRPr="002139AB">
        <w:rPr>
          <w:rFonts w:ascii="Arial" w:eastAsia="Arial" w:hAnsi="Arial" w:cs="Arial"/>
          <w:sz w:val="22"/>
          <w:szCs w:val="22"/>
        </w:rPr>
        <w:t>. Este Tribunal Electoral</w:t>
      </w:r>
      <w:r w:rsidR="00567D80" w:rsidRPr="002139AB">
        <w:rPr>
          <w:rFonts w:ascii="Arial" w:eastAsia="Arial" w:hAnsi="Arial" w:cs="Arial"/>
          <w:sz w:val="22"/>
          <w:szCs w:val="22"/>
        </w:rPr>
        <w:t xml:space="preserve"> ejerce jurisdicción y</w:t>
      </w:r>
      <w:r w:rsidRPr="002139AB">
        <w:rPr>
          <w:rFonts w:ascii="Arial" w:eastAsia="Arial" w:hAnsi="Arial" w:cs="Arial"/>
          <w:sz w:val="22"/>
          <w:szCs w:val="22"/>
        </w:rPr>
        <w:t xml:space="preserve"> es competente para conocer y resolver el presente asunto, </w:t>
      </w:r>
      <w:r w:rsidR="00567D80" w:rsidRPr="002139AB">
        <w:rPr>
          <w:rFonts w:ascii="Arial" w:eastAsia="Arial" w:hAnsi="Arial" w:cs="Arial"/>
          <w:sz w:val="22"/>
          <w:szCs w:val="22"/>
        </w:rPr>
        <w:t xml:space="preserve">en virtud de que se trata de un medio de impugnación promovido por un </w:t>
      </w:r>
      <w:r w:rsidR="00584C6E">
        <w:rPr>
          <w:rFonts w:ascii="Arial" w:eastAsia="Arial" w:hAnsi="Arial" w:cs="Arial"/>
          <w:sz w:val="22"/>
          <w:szCs w:val="22"/>
        </w:rPr>
        <w:t>ciudadano en su carácter de militante activo del PAN y aspirante a candidato a diputado local dentro del actual proceso electoral;</w:t>
      </w:r>
      <w:r w:rsidR="00567D80" w:rsidRPr="002139AB">
        <w:rPr>
          <w:rFonts w:ascii="Arial" w:eastAsia="Arial" w:hAnsi="Arial" w:cs="Arial"/>
          <w:sz w:val="22"/>
          <w:szCs w:val="22"/>
        </w:rPr>
        <w:t xml:space="preserve"> el cual</w:t>
      </w:r>
      <w:r w:rsidR="00584C6E">
        <w:rPr>
          <w:rFonts w:ascii="Arial" w:eastAsia="Arial" w:hAnsi="Arial" w:cs="Arial"/>
          <w:sz w:val="22"/>
          <w:szCs w:val="22"/>
        </w:rPr>
        <w:t xml:space="preserve"> acusa una arbitraria designación de las candidaturas del distrito electoral XIV.</w:t>
      </w:r>
    </w:p>
    <w:p w14:paraId="336AA3EE" w14:textId="77777777" w:rsidR="001C4ECF" w:rsidRPr="002139AB" w:rsidRDefault="001C4ECF">
      <w:pPr>
        <w:pBdr>
          <w:top w:val="nil"/>
          <w:left w:val="nil"/>
          <w:bottom w:val="nil"/>
          <w:right w:val="nil"/>
          <w:between w:val="nil"/>
        </w:pBdr>
        <w:tabs>
          <w:tab w:val="center" w:pos="4819"/>
        </w:tabs>
        <w:spacing w:line="360" w:lineRule="auto"/>
        <w:ind w:right="49"/>
        <w:jc w:val="both"/>
        <w:rPr>
          <w:rFonts w:ascii="Arial" w:eastAsia="Arial" w:hAnsi="Arial" w:cs="Arial"/>
          <w:sz w:val="22"/>
          <w:szCs w:val="22"/>
        </w:rPr>
      </w:pPr>
    </w:p>
    <w:p w14:paraId="6C0F1CC1" w14:textId="77777777" w:rsidR="0028404C" w:rsidRPr="002139AB" w:rsidRDefault="00EA44A4">
      <w:pPr>
        <w:spacing w:line="360" w:lineRule="auto"/>
        <w:jc w:val="both"/>
        <w:rPr>
          <w:rFonts w:ascii="Arial" w:eastAsia="Arial" w:hAnsi="Arial" w:cs="Arial"/>
          <w:sz w:val="22"/>
          <w:szCs w:val="22"/>
        </w:rPr>
      </w:pPr>
      <w:r w:rsidRPr="002139AB">
        <w:rPr>
          <w:rFonts w:ascii="Arial" w:eastAsia="Arial" w:hAnsi="Arial" w:cs="Arial"/>
          <w:b/>
          <w:sz w:val="22"/>
          <w:szCs w:val="22"/>
        </w:rPr>
        <w:t>2.2. Procedencia.</w:t>
      </w:r>
      <w:r w:rsidRPr="002139AB">
        <w:rPr>
          <w:rFonts w:ascii="Arial" w:eastAsia="Arial" w:hAnsi="Arial" w:cs="Arial"/>
          <w:sz w:val="22"/>
          <w:szCs w:val="22"/>
        </w:rPr>
        <w:t xml:space="preserve"> El asunto en cuestión, cumple con los requisitos de procedencia previstos en los artículos 302 párrafo primero y 307 del Código Electoral en relación con los diversos 1, 2, 10 y 11 de los Lineamientos para la Tramitación, Sustanciación y Resolución del Juicio para la Protección de los Derechos Político-Electorales del Ciudadano, Juicio General y Asunto General, competencia del Tribunal Electoral del Estado de Aguascalientes</w:t>
      </w:r>
    </w:p>
    <w:p w14:paraId="1ACF0510" w14:textId="77777777" w:rsidR="0028404C" w:rsidRPr="002139AB" w:rsidRDefault="0028404C">
      <w:pPr>
        <w:spacing w:line="360" w:lineRule="auto"/>
        <w:jc w:val="both"/>
        <w:rPr>
          <w:rFonts w:ascii="Arial" w:eastAsia="Arial" w:hAnsi="Arial" w:cs="Arial"/>
          <w:sz w:val="22"/>
          <w:szCs w:val="22"/>
        </w:rPr>
      </w:pPr>
    </w:p>
    <w:p w14:paraId="1301EE7D" w14:textId="77777777" w:rsidR="0028404C" w:rsidRPr="002139AB" w:rsidRDefault="00EA44A4">
      <w:pPr>
        <w:spacing w:line="360" w:lineRule="auto"/>
        <w:jc w:val="both"/>
        <w:rPr>
          <w:rFonts w:ascii="Arial" w:eastAsia="Arial" w:hAnsi="Arial" w:cs="Arial"/>
          <w:sz w:val="22"/>
          <w:szCs w:val="22"/>
        </w:rPr>
      </w:pPr>
      <w:r w:rsidRPr="002139AB">
        <w:rPr>
          <w:rFonts w:ascii="Arial" w:eastAsia="Arial" w:hAnsi="Arial" w:cs="Arial"/>
          <w:b/>
          <w:sz w:val="22"/>
          <w:szCs w:val="22"/>
        </w:rPr>
        <w:t>2.3. Forma.</w:t>
      </w:r>
      <w:r w:rsidRPr="002139AB">
        <w:rPr>
          <w:rFonts w:ascii="Arial" w:eastAsia="Arial" w:hAnsi="Arial" w:cs="Arial"/>
          <w:sz w:val="22"/>
          <w:szCs w:val="22"/>
        </w:rPr>
        <w:t xml:space="preserve"> La demanda se presentó por escrito, y en ésta se hizo constar el nombre y firma autógrafa de quien promueve, su domicilio para oír y recibir notificaciones, así como las personas autorizadas para ello; además, se identifica el acto impugnado y la autoridad responsable; se mencionan los hechos en que basa su impugnación, los agravios que, supuestamente, causan el acto controvertido, y los preceptos presuntamente violados.</w:t>
      </w:r>
    </w:p>
    <w:p w14:paraId="7FF02A66" w14:textId="77777777" w:rsidR="0028404C" w:rsidRPr="002139AB" w:rsidRDefault="0028404C">
      <w:pPr>
        <w:spacing w:line="360" w:lineRule="auto"/>
        <w:jc w:val="both"/>
        <w:rPr>
          <w:rFonts w:ascii="Arial" w:eastAsia="Arial" w:hAnsi="Arial" w:cs="Arial"/>
          <w:sz w:val="22"/>
          <w:szCs w:val="22"/>
        </w:rPr>
      </w:pPr>
    </w:p>
    <w:p w14:paraId="3CDAD659" w14:textId="3ECD93B4" w:rsidR="0028404C" w:rsidRPr="002139AB" w:rsidRDefault="00EA44A4">
      <w:pPr>
        <w:spacing w:line="360" w:lineRule="auto"/>
        <w:jc w:val="both"/>
        <w:rPr>
          <w:rFonts w:ascii="Arial" w:eastAsia="Arial" w:hAnsi="Arial" w:cs="Arial"/>
          <w:sz w:val="22"/>
          <w:szCs w:val="22"/>
        </w:rPr>
      </w:pPr>
      <w:r w:rsidRPr="002139AB">
        <w:rPr>
          <w:rFonts w:ascii="Arial" w:eastAsia="Arial" w:hAnsi="Arial" w:cs="Arial"/>
          <w:b/>
          <w:sz w:val="22"/>
          <w:szCs w:val="22"/>
        </w:rPr>
        <w:t>2.4. Oportunidad.</w:t>
      </w:r>
      <w:r w:rsidRPr="002139AB">
        <w:rPr>
          <w:rFonts w:ascii="Arial" w:eastAsia="Arial" w:hAnsi="Arial" w:cs="Arial"/>
          <w:sz w:val="22"/>
          <w:szCs w:val="22"/>
        </w:rPr>
        <w:t xml:space="preserve"> </w:t>
      </w:r>
      <w:r w:rsidR="001E2151" w:rsidRPr="002139AB">
        <w:rPr>
          <w:rFonts w:ascii="Arial" w:eastAsia="Arial" w:hAnsi="Arial" w:cs="Arial"/>
          <w:sz w:val="22"/>
          <w:szCs w:val="22"/>
        </w:rPr>
        <w:t xml:space="preserve"> </w:t>
      </w:r>
      <w:r w:rsidR="00E27AA5" w:rsidRPr="002139AB">
        <w:rPr>
          <w:rFonts w:ascii="Arial" w:eastAsia="Arial" w:hAnsi="Arial" w:cs="Arial"/>
          <w:sz w:val="22"/>
          <w:szCs w:val="22"/>
        </w:rPr>
        <w:t xml:space="preserve">Se colma este requisito, ya que, la demanda fue presentada en tiempo y forma, pues se interpuso el </w:t>
      </w:r>
      <w:r w:rsidR="00584C6E">
        <w:rPr>
          <w:rFonts w:ascii="Arial" w:eastAsia="Arial" w:hAnsi="Arial" w:cs="Arial"/>
          <w:sz w:val="22"/>
          <w:szCs w:val="22"/>
        </w:rPr>
        <w:t>veinte de mayo</w:t>
      </w:r>
      <w:r w:rsidR="00E27AA5" w:rsidRPr="002139AB">
        <w:rPr>
          <w:rFonts w:ascii="Arial" w:eastAsia="Arial" w:hAnsi="Arial" w:cs="Arial"/>
          <w:sz w:val="22"/>
          <w:szCs w:val="22"/>
        </w:rPr>
        <w:t xml:space="preserve"> y </w:t>
      </w:r>
      <w:r w:rsidR="00584C6E">
        <w:rPr>
          <w:rFonts w:ascii="Arial" w:eastAsia="Arial" w:hAnsi="Arial" w:cs="Arial"/>
          <w:sz w:val="22"/>
          <w:szCs w:val="22"/>
        </w:rPr>
        <w:t>los</w:t>
      </w:r>
      <w:r w:rsidR="00E27AA5" w:rsidRPr="002139AB">
        <w:rPr>
          <w:rFonts w:ascii="Arial" w:eastAsia="Arial" w:hAnsi="Arial" w:cs="Arial"/>
          <w:sz w:val="22"/>
          <w:szCs w:val="22"/>
        </w:rPr>
        <w:t xml:space="preserve"> acto</w:t>
      </w:r>
      <w:r w:rsidR="00584C6E">
        <w:rPr>
          <w:rFonts w:ascii="Arial" w:eastAsia="Arial" w:hAnsi="Arial" w:cs="Arial"/>
          <w:sz w:val="22"/>
          <w:szCs w:val="22"/>
        </w:rPr>
        <w:t>s</w:t>
      </w:r>
      <w:r w:rsidR="00E27AA5" w:rsidRPr="002139AB">
        <w:rPr>
          <w:rFonts w:ascii="Arial" w:eastAsia="Arial" w:hAnsi="Arial" w:cs="Arial"/>
          <w:sz w:val="22"/>
          <w:szCs w:val="22"/>
        </w:rPr>
        <w:t xml:space="preserve"> que controvierte fue</w:t>
      </w:r>
      <w:r w:rsidR="00584C6E">
        <w:rPr>
          <w:rFonts w:ascii="Arial" w:eastAsia="Arial" w:hAnsi="Arial" w:cs="Arial"/>
          <w:sz w:val="22"/>
          <w:szCs w:val="22"/>
        </w:rPr>
        <w:t>ron</w:t>
      </w:r>
      <w:r w:rsidR="00E27AA5" w:rsidRPr="002139AB">
        <w:rPr>
          <w:rFonts w:ascii="Arial" w:eastAsia="Arial" w:hAnsi="Arial" w:cs="Arial"/>
          <w:sz w:val="22"/>
          <w:szCs w:val="22"/>
        </w:rPr>
        <w:t xml:space="preserve"> </w:t>
      </w:r>
      <w:r w:rsidR="00584C6E">
        <w:rPr>
          <w:rFonts w:ascii="Arial" w:eastAsia="Arial" w:hAnsi="Arial" w:cs="Arial"/>
          <w:sz w:val="22"/>
          <w:szCs w:val="22"/>
        </w:rPr>
        <w:t>publicados en estrados</w:t>
      </w:r>
      <w:r w:rsidR="00E27AA5" w:rsidRPr="002139AB">
        <w:rPr>
          <w:rFonts w:ascii="Arial" w:eastAsia="Arial" w:hAnsi="Arial" w:cs="Arial"/>
          <w:sz w:val="22"/>
          <w:szCs w:val="22"/>
        </w:rPr>
        <w:t xml:space="preserve"> </w:t>
      </w:r>
      <w:r w:rsidR="00584C6E">
        <w:rPr>
          <w:rFonts w:ascii="Arial" w:eastAsia="Arial" w:hAnsi="Arial" w:cs="Arial"/>
          <w:sz w:val="22"/>
          <w:szCs w:val="22"/>
        </w:rPr>
        <w:t>los</w:t>
      </w:r>
      <w:r w:rsidR="00E27AA5" w:rsidRPr="002139AB">
        <w:rPr>
          <w:rFonts w:ascii="Arial" w:eastAsia="Arial" w:hAnsi="Arial" w:cs="Arial"/>
          <w:sz w:val="22"/>
          <w:szCs w:val="22"/>
        </w:rPr>
        <w:t xml:space="preserve"> </w:t>
      </w:r>
      <w:r w:rsidR="00584C6E">
        <w:rPr>
          <w:rFonts w:ascii="Arial" w:eastAsia="Arial" w:hAnsi="Arial" w:cs="Arial"/>
          <w:sz w:val="22"/>
          <w:szCs w:val="22"/>
        </w:rPr>
        <w:t xml:space="preserve">días dieciséis y diecisiete </w:t>
      </w:r>
      <w:r w:rsidR="00E27AA5" w:rsidRPr="002139AB">
        <w:rPr>
          <w:rFonts w:ascii="Arial" w:eastAsia="Arial" w:hAnsi="Arial" w:cs="Arial"/>
          <w:sz w:val="22"/>
          <w:szCs w:val="22"/>
        </w:rPr>
        <w:t>del mismo mes: es decir, el mecanismo impugnativo se encontró dentro del plazo de cuatro días.</w:t>
      </w:r>
    </w:p>
    <w:p w14:paraId="333E9CDF" w14:textId="77777777" w:rsidR="00D7107E" w:rsidRPr="001F7A19" w:rsidRDefault="00D7107E">
      <w:pPr>
        <w:spacing w:line="360" w:lineRule="auto"/>
        <w:jc w:val="both"/>
        <w:rPr>
          <w:rFonts w:ascii="Arial" w:eastAsia="Arial" w:hAnsi="Arial" w:cs="Arial"/>
          <w:b/>
          <w:sz w:val="23"/>
          <w:szCs w:val="23"/>
        </w:rPr>
      </w:pPr>
    </w:p>
    <w:p w14:paraId="5919790F" w14:textId="0200990F" w:rsidR="0028404C" w:rsidRPr="002139AB" w:rsidRDefault="00EA44A4">
      <w:pPr>
        <w:spacing w:line="360" w:lineRule="auto"/>
        <w:jc w:val="both"/>
        <w:rPr>
          <w:rFonts w:ascii="Arial" w:eastAsia="Arial" w:hAnsi="Arial" w:cs="Arial"/>
          <w:sz w:val="22"/>
          <w:szCs w:val="22"/>
        </w:rPr>
      </w:pPr>
      <w:r w:rsidRPr="002139AB">
        <w:rPr>
          <w:rFonts w:ascii="Arial" w:eastAsia="Arial" w:hAnsi="Arial" w:cs="Arial"/>
          <w:b/>
          <w:sz w:val="22"/>
          <w:szCs w:val="22"/>
        </w:rPr>
        <w:t xml:space="preserve">2.5. Legitimación y personería. </w:t>
      </w:r>
      <w:r w:rsidRPr="002139AB">
        <w:rPr>
          <w:rFonts w:ascii="Arial" w:eastAsia="Arial" w:hAnsi="Arial" w:cs="Arial"/>
          <w:sz w:val="22"/>
          <w:szCs w:val="22"/>
        </w:rPr>
        <w:t xml:space="preserve">Los requisitos que nos ocupan se satisfacen, ya que quien promueve, se ostenta como </w:t>
      </w:r>
      <w:r w:rsidR="00584C6E">
        <w:rPr>
          <w:rFonts w:ascii="Arial" w:eastAsia="Arial" w:hAnsi="Arial" w:cs="Arial"/>
          <w:sz w:val="22"/>
          <w:szCs w:val="22"/>
        </w:rPr>
        <w:t>ciudadano y miembro activo del PAN.</w:t>
      </w:r>
    </w:p>
    <w:p w14:paraId="3120D76C" w14:textId="77777777" w:rsidR="008A6288" w:rsidRPr="002139AB" w:rsidRDefault="008A6288">
      <w:pPr>
        <w:spacing w:line="360" w:lineRule="auto"/>
        <w:jc w:val="both"/>
        <w:rPr>
          <w:rFonts w:ascii="Arial" w:eastAsia="Arial" w:hAnsi="Arial" w:cs="Arial"/>
          <w:sz w:val="22"/>
          <w:szCs w:val="22"/>
        </w:rPr>
      </w:pPr>
    </w:p>
    <w:p w14:paraId="414621D8" w14:textId="48BDF5C4" w:rsidR="0028404C" w:rsidRPr="002139AB" w:rsidRDefault="00EA44A4">
      <w:pPr>
        <w:spacing w:line="360" w:lineRule="auto"/>
        <w:jc w:val="both"/>
        <w:rPr>
          <w:rFonts w:ascii="Arial" w:eastAsia="Arial" w:hAnsi="Arial" w:cs="Arial"/>
          <w:sz w:val="22"/>
          <w:szCs w:val="22"/>
        </w:rPr>
      </w:pPr>
      <w:r w:rsidRPr="002139AB">
        <w:rPr>
          <w:rFonts w:ascii="Arial" w:eastAsia="Arial" w:hAnsi="Arial" w:cs="Arial"/>
          <w:b/>
          <w:sz w:val="22"/>
          <w:szCs w:val="22"/>
        </w:rPr>
        <w:t xml:space="preserve">2.6. Interés jurídico. </w:t>
      </w:r>
      <w:r w:rsidRPr="002139AB">
        <w:rPr>
          <w:rFonts w:ascii="Arial" w:eastAsia="Arial" w:hAnsi="Arial" w:cs="Arial"/>
          <w:sz w:val="22"/>
          <w:szCs w:val="22"/>
        </w:rPr>
        <w:t xml:space="preserve">Se cumple con tal requisito, pues el actor, en su calidad de </w:t>
      </w:r>
      <w:r w:rsidR="00584C6E">
        <w:rPr>
          <w:rFonts w:ascii="Arial" w:eastAsia="Arial" w:hAnsi="Arial" w:cs="Arial"/>
          <w:sz w:val="22"/>
          <w:szCs w:val="22"/>
        </w:rPr>
        <w:t>ciudadano y afiliado como miembro activo del PAN</w:t>
      </w:r>
      <w:r w:rsidRPr="002139AB">
        <w:rPr>
          <w:rFonts w:ascii="Arial" w:eastAsia="Arial" w:hAnsi="Arial" w:cs="Arial"/>
          <w:sz w:val="22"/>
          <w:szCs w:val="22"/>
        </w:rPr>
        <w:t xml:space="preserve">, alega una transgresión a </w:t>
      </w:r>
      <w:r w:rsidR="0091635C" w:rsidRPr="002139AB">
        <w:rPr>
          <w:rFonts w:ascii="Arial" w:eastAsia="Arial" w:hAnsi="Arial" w:cs="Arial"/>
          <w:sz w:val="22"/>
          <w:szCs w:val="22"/>
        </w:rPr>
        <w:t xml:space="preserve">su derecho </w:t>
      </w:r>
      <w:r w:rsidR="00E6283A">
        <w:rPr>
          <w:rFonts w:ascii="Arial" w:eastAsia="Arial" w:hAnsi="Arial" w:cs="Arial"/>
          <w:sz w:val="22"/>
          <w:szCs w:val="22"/>
        </w:rPr>
        <w:t>político-electoral de ser votado</w:t>
      </w:r>
      <w:r w:rsidR="0091635C" w:rsidRPr="002139AB">
        <w:rPr>
          <w:rFonts w:ascii="Arial" w:eastAsia="Arial" w:hAnsi="Arial" w:cs="Arial"/>
          <w:sz w:val="22"/>
          <w:szCs w:val="22"/>
        </w:rPr>
        <w:t xml:space="preserve">, en la medida de que </w:t>
      </w:r>
      <w:r w:rsidR="00E6283A">
        <w:rPr>
          <w:rFonts w:ascii="Arial" w:eastAsia="Arial" w:hAnsi="Arial" w:cs="Arial"/>
          <w:sz w:val="22"/>
          <w:szCs w:val="22"/>
        </w:rPr>
        <w:t>determinadas candidaturas fueron designadas de manera arbitraria.</w:t>
      </w:r>
    </w:p>
    <w:p w14:paraId="3A8D3CCD" w14:textId="77777777" w:rsidR="0028404C" w:rsidRPr="002139AB" w:rsidRDefault="0028404C">
      <w:pPr>
        <w:spacing w:line="360" w:lineRule="auto"/>
        <w:jc w:val="both"/>
        <w:rPr>
          <w:rFonts w:ascii="Arial" w:eastAsia="Arial" w:hAnsi="Arial" w:cs="Arial"/>
          <w:sz w:val="22"/>
          <w:szCs w:val="22"/>
        </w:rPr>
      </w:pPr>
    </w:p>
    <w:p w14:paraId="107ADEE0" w14:textId="530539BA" w:rsidR="0091635C" w:rsidRDefault="00EA44A4" w:rsidP="0091635C">
      <w:pPr>
        <w:pBdr>
          <w:top w:val="nil"/>
          <w:left w:val="nil"/>
          <w:bottom w:val="nil"/>
          <w:right w:val="nil"/>
          <w:between w:val="nil"/>
        </w:pBdr>
        <w:tabs>
          <w:tab w:val="left" w:pos="426"/>
        </w:tabs>
        <w:spacing w:line="360" w:lineRule="auto"/>
        <w:jc w:val="both"/>
        <w:rPr>
          <w:rFonts w:ascii="Arial" w:eastAsia="Arial" w:hAnsi="Arial" w:cs="Arial"/>
          <w:color w:val="000000"/>
          <w:sz w:val="22"/>
          <w:szCs w:val="22"/>
        </w:rPr>
      </w:pPr>
      <w:r w:rsidRPr="002139AB">
        <w:rPr>
          <w:rFonts w:ascii="Arial" w:eastAsia="Arial" w:hAnsi="Arial" w:cs="Arial"/>
          <w:b/>
          <w:sz w:val="22"/>
          <w:szCs w:val="22"/>
        </w:rPr>
        <w:t xml:space="preserve">2.7. </w:t>
      </w:r>
      <w:r w:rsidR="00E6283A">
        <w:rPr>
          <w:rFonts w:ascii="Arial" w:eastAsia="Arial" w:hAnsi="Arial" w:cs="Arial"/>
          <w:b/>
          <w:sz w:val="22"/>
          <w:szCs w:val="22"/>
        </w:rPr>
        <w:t>Procedencia del salto de instancia</w:t>
      </w:r>
      <w:r w:rsidRPr="002139AB">
        <w:rPr>
          <w:rFonts w:ascii="Arial" w:eastAsia="Arial" w:hAnsi="Arial" w:cs="Arial"/>
          <w:b/>
          <w:sz w:val="22"/>
          <w:szCs w:val="22"/>
        </w:rPr>
        <w:t xml:space="preserve">. </w:t>
      </w:r>
      <w:r w:rsidR="0091635C" w:rsidRPr="002139AB">
        <w:rPr>
          <w:rFonts w:ascii="Arial" w:eastAsia="Arial" w:hAnsi="Arial" w:cs="Arial"/>
          <w:color w:val="000000"/>
          <w:sz w:val="22"/>
          <w:szCs w:val="22"/>
        </w:rPr>
        <w:t xml:space="preserve">Este </w:t>
      </w:r>
      <w:r w:rsidR="00E6283A">
        <w:rPr>
          <w:rFonts w:ascii="Arial" w:eastAsia="Arial" w:hAnsi="Arial" w:cs="Arial"/>
          <w:color w:val="000000"/>
          <w:sz w:val="22"/>
          <w:szCs w:val="22"/>
        </w:rPr>
        <w:t>Tribunal Electoral, estima</w:t>
      </w:r>
      <w:r w:rsidR="00E6283A" w:rsidRPr="00E6283A">
        <w:rPr>
          <w:rFonts w:ascii="Arial" w:eastAsia="Arial" w:hAnsi="Arial" w:cs="Arial"/>
          <w:color w:val="000000"/>
          <w:sz w:val="22"/>
          <w:szCs w:val="22"/>
        </w:rPr>
        <w:t xml:space="preserve"> que es procedente conocer del presente juicio sin que se requiera agotar la instancia </w:t>
      </w:r>
      <w:r w:rsidR="00E6283A">
        <w:rPr>
          <w:rFonts w:ascii="Arial" w:eastAsia="Arial" w:hAnsi="Arial" w:cs="Arial"/>
          <w:color w:val="000000"/>
          <w:sz w:val="22"/>
          <w:szCs w:val="22"/>
        </w:rPr>
        <w:t>partidista</w:t>
      </w:r>
      <w:r w:rsidR="00E6283A" w:rsidRPr="00E6283A">
        <w:rPr>
          <w:rFonts w:ascii="Arial" w:eastAsia="Arial" w:hAnsi="Arial" w:cs="Arial"/>
          <w:color w:val="000000"/>
          <w:sz w:val="22"/>
          <w:szCs w:val="22"/>
        </w:rPr>
        <w:t xml:space="preserve">, </w:t>
      </w:r>
      <w:r w:rsidR="00E6283A">
        <w:rPr>
          <w:rFonts w:ascii="Arial" w:eastAsia="Arial" w:hAnsi="Arial" w:cs="Arial"/>
          <w:color w:val="000000"/>
          <w:sz w:val="22"/>
          <w:szCs w:val="22"/>
        </w:rPr>
        <w:t xml:space="preserve">en consideración a que </w:t>
      </w:r>
      <w:r w:rsidR="00E6283A" w:rsidRPr="00E6283A">
        <w:rPr>
          <w:rFonts w:ascii="Arial" w:eastAsia="Arial" w:hAnsi="Arial" w:cs="Arial"/>
          <w:color w:val="000000"/>
          <w:sz w:val="22"/>
          <w:szCs w:val="22"/>
        </w:rPr>
        <w:t>dicha exigencia podría ocasionar una amenaza seria para los derechos sustanciales que son objeto del presente litigio, por los trámites de que conste dicho medio y el tiempo necesario para su resolución</w:t>
      </w:r>
    </w:p>
    <w:p w14:paraId="0A84698B" w14:textId="14D1AC3A" w:rsidR="00E6283A" w:rsidRDefault="00E6283A" w:rsidP="0091635C">
      <w:pPr>
        <w:pBdr>
          <w:top w:val="nil"/>
          <w:left w:val="nil"/>
          <w:bottom w:val="nil"/>
          <w:right w:val="nil"/>
          <w:between w:val="nil"/>
        </w:pBdr>
        <w:tabs>
          <w:tab w:val="left" w:pos="426"/>
        </w:tabs>
        <w:spacing w:line="360" w:lineRule="auto"/>
        <w:jc w:val="both"/>
        <w:rPr>
          <w:rFonts w:ascii="Arial" w:eastAsia="Arial" w:hAnsi="Arial" w:cs="Arial"/>
          <w:color w:val="000000"/>
          <w:sz w:val="22"/>
          <w:szCs w:val="22"/>
        </w:rPr>
      </w:pPr>
    </w:p>
    <w:p w14:paraId="4AC8DF6C" w14:textId="7F9322DE" w:rsidR="00E6283A" w:rsidRPr="002139AB" w:rsidRDefault="00E6283A" w:rsidP="0091635C">
      <w:pPr>
        <w:pBdr>
          <w:top w:val="nil"/>
          <w:left w:val="nil"/>
          <w:bottom w:val="nil"/>
          <w:right w:val="nil"/>
          <w:between w:val="nil"/>
        </w:pBdr>
        <w:tabs>
          <w:tab w:val="left" w:pos="426"/>
        </w:tabs>
        <w:spacing w:line="360" w:lineRule="auto"/>
        <w:jc w:val="both"/>
        <w:rPr>
          <w:rFonts w:ascii="Arial" w:eastAsia="Arial" w:hAnsi="Arial" w:cs="Arial"/>
          <w:color w:val="000000"/>
          <w:sz w:val="22"/>
          <w:szCs w:val="22"/>
        </w:rPr>
      </w:pPr>
      <w:r w:rsidRPr="00E6283A">
        <w:rPr>
          <w:rFonts w:ascii="Arial" w:eastAsia="Arial" w:hAnsi="Arial" w:cs="Arial"/>
          <w:color w:val="000000"/>
          <w:sz w:val="22"/>
          <w:szCs w:val="22"/>
        </w:rPr>
        <w:lastRenderedPageBreak/>
        <w:t xml:space="preserve">De ahí que, esta </w:t>
      </w:r>
      <w:r>
        <w:rPr>
          <w:rFonts w:ascii="Arial" w:eastAsia="Arial" w:hAnsi="Arial" w:cs="Arial"/>
          <w:color w:val="000000"/>
          <w:sz w:val="22"/>
          <w:szCs w:val="22"/>
        </w:rPr>
        <w:t>autoridad</w:t>
      </w:r>
      <w:r w:rsidRPr="00E6283A">
        <w:rPr>
          <w:rFonts w:ascii="Arial" w:eastAsia="Arial" w:hAnsi="Arial" w:cs="Arial"/>
          <w:color w:val="000000"/>
          <w:sz w:val="22"/>
          <w:szCs w:val="22"/>
        </w:rPr>
        <w:t xml:space="preserve"> considera que, a efecto de garantizar al promovente su derecho de acceso a la justicia pronta, completa e imparcial, contenido en el artículo 17, párrafo segundo, de la Constitución Política de los Estados Unidos Mexicanos, y a fin de dar certeza al proceso electoral local sin que transcurra más tiempo, dado lo avanzado del mismo, es procedente realizar el estudio del presente medio de impugnación en la vía </w:t>
      </w:r>
      <w:r w:rsidRPr="00E6283A">
        <w:rPr>
          <w:rFonts w:ascii="Arial" w:eastAsia="Arial" w:hAnsi="Arial" w:cs="Arial"/>
          <w:i/>
          <w:iCs/>
          <w:color w:val="000000"/>
          <w:sz w:val="22"/>
          <w:szCs w:val="22"/>
        </w:rPr>
        <w:t>per saltum</w:t>
      </w:r>
      <w:r w:rsidRPr="00E6283A">
        <w:rPr>
          <w:rFonts w:ascii="Arial" w:eastAsia="Arial" w:hAnsi="Arial" w:cs="Arial"/>
          <w:color w:val="000000"/>
          <w:sz w:val="22"/>
          <w:szCs w:val="22"/>
        </w:rPr>
        <w:t>.</w:t>
      </w:r>
    </w:p>
    <w:p w14:paraId="738117F7" w14:textId="77777777" w:rsidR="0028404C" w:rsidRPr="002139AB" w:rsidRDefault="0028404C">
      <w:pPr>
        <w:pBdr>
          <w:top w:val="nil"/>
          <w:left w:val="nil"/>
          <w:bottom w:val="nil"/>
          <w:right w:val="nil"/>
          <w:between w:val="nil"/>
        </w:pBdr>
        <w:spacing w:line="360" w:lineRule="auto"/>
        <w:rPr>
          <w:rFonts w:ascii="Arial" w:eastAsia="Arial" w:hAnsi="Arial" w:cs="Arial"/>
          <w:b/>
          <w:bCs/>
          <w:sz w:val="22"/>
          <w:szCs w:val="22"/>
        </w:rPr>
      </w:pPr>
    </w:p>
    <w:p w14:paraId="0E43BE19" w14:textId="6C13BC1A" w:rsidR="0028404C" w:rsidRPr="002139AB" w:rsidRDefault="00B200C6" w:rsidP="00B200C6">
      <w:pPr>
        <w:pStyle w:val="Ttulo1"/>
        <w:keepLines w:val="0"/>
        <w:numPr>
          <w:ilvl w:val="0"/>
          <w:numId w:val="12"/>
        </w:numPr>
        <w:spacing w:before="0" w:line="360" w:lineRule="auto"/>
        <w:ind w:left="426"/>
        <w:jc w:val="both"/>
        <w:rPr>
          <w:rFonts w:ascii="Arial" w:eastAsia="Arial" w:hAnsi="Arial" w:cs="Arial"/>
          <w:b/>
          <w:bCs/>
          <w:color w:val="auto"/>
          <w:sz w:val="22"/>
          <w:szCs w:val="22"/>
          <w:highlight w:val="white"/>
        </w:rPr>
      </w:pPr>
      <w:bookmarkStart w:id="5" w:name="_Toc69406588"/>
      <w:r w:rsidRPr="002139AB">
        <w:rPr>
          <w:rFonts w:ascii="Arial" w:eastAsia="Times New Roman" w:hAnsi="Arial" w:cs="Arial"/>
          <w:b/>
          <w:bCs/>
          <w:color w:val="auto"/>
          <w:sz w:val="22"/>
          <w:szCs w:val="22"/>
        </w:rPr>
        <w:t>TERCEROS INTERESADOS</w:t>
      </w:r>
      <w:r w:rsidRPr="002139AB">
        <w:rPr>
          <w:rFonts w:ascii="Arial" w:eastAsia="Arial" w:hAnsi="Arial" w:cs="Arial"/>
          <w:b/>
          <w:bCs/>
          <w:color w:val="auto"/>
          <w:sz w:val="22"/>
          <w:szCs w:val="22"/>
          <w:highlight w:val="white"/>
        </w:rPr>
        <w:t>.</w:t>
      </w:r>
      <w:bookmarkEnd w:id="5"/>
    </w:p>
    <w:p w14:paraId="4C241B78" w14:textId="77777777" w:rsidR="008A6288" w:rsidRPr="002139AB" w:rsidRDefault="008A6288" w:rsidP="008A6288">
      <w:pPr>
        <w:rPr>
          <w:rFonts w:eastAsia="Arial"/>
          <w:sz w:val="22"/>
          <w:szCs w:val="22"/>
          <w:highlight w:val="white"/>
        </w:rPr>
      </w:pPr>
    </w:p>
    <w:p w14:paraId="57E075C9" w14:textId="4B438076" w:rsidR="0028404C"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 xml:space="preserve">De las constancias que obran en autos, se advierte </w:t>
      </w:r>
      <w:r w:rsidR="00D91F6A">
        <w:rPr>
          <w:rFonts w:ascii="Arial" w:eastAsia="Arial" w:hAnsi="Arial" w:cs="Arial"/>
          <w:sz w:val="22"/>
          <w:szCs w:val="22"/>
        </w:rPr>
        <w:t xml:space="preserve">la </w:t>
      </w:r>
      <w:r w:rsidRPr="002139AB">
        <w:rPr>
          <w:rFonts w:ascii="Arial" w:eastAsia="Arial" w:hAnsi="Arial" w:cs="Arial"/>
          <w:sz w:val="22"/>
          <w:szCs w:val="22"/>
        </w:rPr>
        <w:t>comparecencia de</w:t>
      </w:r>
      <w:r w:rsidR="00DA2246">
        <w:rPr>
          <w:rFonts w:ascii="Arial" w:eastAsia="Arial" w:hAnsi="Arial" w:cs="Arial"/>
          <w:sz w:val="22"/>
          <w:szCs w:val="22"/>
        </w:rPr>
        <w:t>l C. Luis Enrique García López, que comparece en su carácter de candidato a Diputado local por el distrito XIV, y quien aduce una afectación a su esfera jurídica</w:t>
      </w:r>
      <w:r w:rsidR="00D91F6A">
        <w:rPr>
          <w:rFonts w:ascii="Arial" w:eastAsia="Arial" w:hAnsi="Arial" w:cs="Arial"/>
          <w:sz w:val="22"/>
          <w:szCs w:val="22"/>
        </w:rPr>
        <w:t>, dado que una modificación a la situación actual que se impugna, puede generar una afectación a sus derechos.</w:t>
      </w:r>
    </w:p>
    <w:p w14:paraId="77A41E6F" w14:textId="6E3073EB" w:rsidR="00D91F6A" w:rsidRDefault="00D91F6A">
      <w:pPr>
        <w:tabs>
          <w:tab w:val="left" w:pos="1635"/>
        </w:tabs>
        <w:spacing w:line="360" w:lineRule="auto"/>
        <w:jc w:val="both"/>
        <w:rPr>
          <w:rFonts w:ascii="Arial" w:eastAsia="Arial" w:hAnsi="Arial" w:cs="Arial"/>
          <w:sz w:val="22"/>
          <w:szCs w:val="22"/>
        </w:rPr>
      </w:pPr>
    </w:p>
    <w:p w14:paraId="53DBF847" w14:textId="420AFEC7" w:rsidR="00D91F6A" w:rsidRDefault="00D91F6A">
      <w:pPr>
        <w:tabs>
          <w:tab w:val="left" w:pos="1635"/>
        </w:tabs>
        <w:spacing w:line="360" w:lineRule="auto"/>
        <w:jc w:val="both"/>
        <w:rPr>
          <w:rFonts w:ascii="Arial" w:eastAsia="Arial" w:hAnsi="Arial" w:cs="Arial"/>
          <w:sz w:val="22"/>
          <w:szCs w:val="22"/>
        </w:rPr>
      </w:pPr>
      <w:r>
        <w:rPr>
          <w:rFonts w:ascii="Arial" w:eastAsia="Arial" w:hAnsi="Arial" w:cs="Arial"/>
          <w:sz w:val="22"/>
          <w:szCs w:val="22"/>
        </w:rPr>
        <w:t xml:space="preserve">Además, sugiere que el actor parte de un error, dado que sin motivo ni fundamento indica que la única forma de conocer las vacantes controvertidas, era con la publicidad de las renuncias, y ante la falta de su publicación se le </w:t>
      </w:r>
      <w:r w:rsidR="002A3DC7">
        <w:rPr>
          <w:rFonts w:ascii="Arial" w:eastAsia="Arial" w:hAnsi="Arial" w:cs="Arial"/>
          <w:sz w:val="22"/>
          <w:szCs w:val="22"/>
        </w:rPr>
        <w:t>colocó</w:t>
      </w:r>
      <w:r>
        <w:rPr>
          <w:rFonts w:ascii="Arial" w:eastAsia="Arial" w:hAnsi="Arial" w:cs="Arial"/>
          <w:sz w:val="22"/>
          <w:szCs w:val="22"/>
        </w:rPr>
        <w:t xml:space="preserve"> en</w:t>
      </w:r>
      <w:r w:rsidR="002A3DC7">
        <w:rPr>
          <w:rFonts w:ascii="Arial" w:eastAsia="Arial" w:hAnsi="Arial" w:cs="Arial"/>
          <w:sz w:val="22"/>
          <w:szCs w:val="22"/>
        </w:rPr>
        <w:t xml:space="preserve"> la</w:t>
      </w:r>
      <w:r>
        <w:rPr>
          <w:rFonts w:ascii="Arial" w:eastAsia="Arial" w:hAnsi="Arial" w:cs="Arial"/>
          <w:sz w:val="22"/>
          <w:szCs w:val="22"/>
        </w:rPr>
        <w:t xml:space="preserve"> imposibilidad de conocer la vacante, lo que a ningún sentido hubieran llevado las publicaciones de</w:t>
      </w:r>
      <w:r w:rsidR="002A3DC7">
        <w:rPr>
          <w:rFonts w:ascii="Arial" w:eastAsia="Arial" w:hAnsi="Arial" w:cs="Arial"/>
          <w:sz w:val="22"/>
          <w:szCs w:val="22"/>
        </w:rPr>
        <w:t xml:space="preserve"> </w:t>
      </w:r>
      <w:r>
        <w:rPr>
          <w:rFonts w:ascii="Arial" w:eastAsia="Arial" w:hAnsi="Arial" w:cs="Arial"/>
          <w:sz w:val="22"/>
          <w:szCs w:val="22"/>
        </w:rPr>
        <w:t>las providencias impugnadas que contienen la invitación a participar.</w:t>
      </w:r>
    </w:p>
    <w:p w14:paraId="064A0D5D" w14:textId="61EF6D6B" w:rsidR="00D91F6A" w:rsidRDefault="00D91F6A">
      <w:pPr>
        <w:tabs>
          <w:tab w:val="left" w:pos="1635"/>
        </w:tabs>
        <w:spacing w:line="360" w:lineRule="auto"/>
        <w:jc w:val="both"/>
        <w:rPr>
          <w:rFonts w:ascii="Arial" w:eastAsia="Arial" w:hAnsi="Arial" w:cs="Arial"/>
          <w:sz w:val="22"/>
          <w:szCs w:val="22"/>
        </w:rPr>
      </w:pPr>
    </w:p>
    <w:p w14:paraId="39458A66" w14:textId="42994F1D" w:rsidR="00D91F6A" w:rsidRDefault="00D91F6A">
      <w:pPr>
        <w:tabs>
          <w:tab w:val="left" w:pos="1635"/>
        </w:tabs>
        <w:spacing w:line="360" w:lineRule="auto"/>
        <w:jc w:val="both"/>
        <w:rPr>
          <w:rFonts w:ascii="Arial" w:eastAsia="Arial" w:hAnsi="Arial" w:cs="Arial"/>
          <w:sz w:val="22"/>
          <w:szCs w:val="22"/>
        </w:rPr>
      </w:pPr>
      <w:r>
        <w:rPr>
          <w:rFonts w:ascii="Arial" w:eastAsia="Arial" w:hAnsi="Arial" w:cs="Arial"/>
          <w:sz w:val="22"/>
          <w:szCs w:val="22"/>
        </w:rPr>
        <w:t xml:space="preserve">Luego, indica </w:t>
      </w:r>
      <w:r w:rsidR="002A3DC7">
        <w:rPr>
          <w:rFonts w:ascii="Arial" w:eastAsia="Arial" w:hAnsi="Arial" w:cs="Arial"/>
          <w:sz w:val="22"/>
          <w:szCs w:val="22"/>
        </w:rPr>
        <w:t>que,</w:t>
      </w:r>
      <w:r>
        <w:rPr>
          <w:rFonts w:ascii="Arial" w:eastAsia="Arial" w:hAnsi="Arial" w:cs="Arial"/>
          <w:sz w:val="22"/>
          <w:szCs w:val="22"/>
        </w:rPr>
        <w:t xml:space="preserve"> con los actos impugnados, se le informaba a la militancia que existían vacantes, sin necesidad de mostrar las renuncias; también señala que la duración de la fijación de la convocatoria, no podría comprender más tiempo dado la temporalidad establecida en el calendario electoral, por lo que la responsable se encontraba materialmente impedida en otorgar un plazo mayor.</w:t>
      </w:r>
    </w:p>
    <w:p w14:paraId="0E7CD618" w14:textId="662DFFED" w:rsidR="002A3DC7" w:rsidRDefault="002A3DC7">
      <w:pPr>
        <w:tabs>
          <w:tab w:val="left" w:pos="1635"/>
        </w:tabs>
        <w:spacing w:line="360" w:lineRule="auto"/>
        <w:jc w:val="both"/>
        <w:rPr>
          <w:rFonts w:ascii="Arial" w:eastAsia="Arial" w:hAnsi="Arial" w:cs="Arial"/>
          <w:sz w:val="22"/>
          <w:szCs w:val="22"/>
        </w:rPr>
      </w:pPr>
    </w:p>
    <w:p w14:paraId="0DC0238F" w14:textId="7DECAE22" w:rsidR="002A3DC7" w:rsidRDefault="002A3DC7">
      <w:pPr>
        <w:tabs>
          <w:tab w:val="left" w:pos="1635"/>
        </w:tabs>
        <w:spacing w:line="360" w:lineRule="auto"/>
        <w:jc w:val="both"/>
        <w:rPr>
          <w:rFonts w:ascii="Arial" w:eastAsia="Arial" w:hAnsi="Arial" w:cs="Arial"/>
          <w:sz w:val="22"/>
          <w:szCs w:val="22"/>
        </w:rPr>
      </w:pPr>
      <w:r>
        <w:rPr>
          <w:rFonts w:ascii="Arial" w:eastAsia="Arial" w:hAnsi="Arial" w:cs="Arial"/>
          <w:sz w:val="22"/>
          <w:szCs w:val="22"/>
        </w:rPr>
        <w:t>Concluye, refiriéndose a la sentencia SM-JRC-65/2021, señalando que, si bien los efectos de este fallo ordenaban la sustitución únicamente de los distritos XI, XV y XVII, lo cierto es que ante la renuncia del candidato del distrito XIV, se abrió una vacante más para contender, por lo que el partido se encontraba obligado a postular las candidaturas respectivas.</w:t>
      </w:r>
    </w:p>
    <w:p w14:paraId="7BE15778" w14:textId="0EE58005" w:rsidR="002A3DC7" w:rsidRDefault="002A3DC7">
      <w:pPr>
        <w:tabs>
          <w:tab w:val="left" w:pos="1635"/>
        </w:tabs>
        <w:spacing w:line="360" w:lineRule="auto"/>
        <w:jc w:val="both"/>
        <w:rPr>
          <w:rFonts w:ascii="Arial" w:eastAsia="Arial" w:hAnsi="Arial" w:cs="Arial"/>
          <w:sz w:val="22"/>
          <w:szCs w:val="22"/>
        </w:rPr>
      </w:pPr>
    </w:p>
    <w:p w14:paraId="24BA5D00" w14:textId="4805CE2B" w:rsidR="002A3DC7" w:rsidRPr="002139AB" w:rsidRDefault="002A3DC7">
      <w:pPr>
        <w:tabs>
          <w:tab w:val="left" w:pos="1635"/>
        </w:tabs>
        <w:spacing w:line="360" w:lineRule="auto"/>
        <w:jc w:val="both"/>
        <w:rPr>
          <w:rFonts w:ascii="Arial" w:eastAsia="Arial" w:hAnsi="Arial" w:cs="Arial"/>
          <w:sz w:val="22"/>
          <w:szCs w:val="22"/>
        </w:rPr>
      </w:pPr>
      <w:r>
        <w:rPr>
          <w:rFonts w:ascii="Arial" w:eastAsia="Arial" w:hAnsi="Arial" w:cs="Arial"/>
          <w:sz w:val="22"/>
          <w:szCs w:val="22"/>
        </w:rPr>
        <w:t xml:space="preserve">Es decir, si bien no se vinculó la sustitución de la candidatura del distrito XIV mediante la sentencia de mérito, ello no implica bajo alguna óptica que el partido político no pudiera realizar </w:t>
      </w:r>
      <w:proofErr w:type="spellStart"/>
      <w:r>
        <w:rPr>
          <w:rFonts w:ascii="Arial" w:eastAsia="Arial" w:hAnsi="Arial" w:cs="Arial"/>
          <w:sz w:val="22"/>
          <w:szCs w:val="22"/>
        </w:rPr>
        <w:t>susticiones</w:t>
      </w:r>
      <w:proofErr w:type="spellEnd"/>
      <w:r>
        <w:rPr>
          <w:rFonts w:ascii="Arial" w:eastAsia="Arial" w:hAnsi="Arial" w:cs="Arial"/>
          <w:sz w:val="22"/>
          <w:szCs w:val="22"/>
        </w:rPr>
        <w:t>.</w:t>
      </w:r>
    </w:p>
    <w:p w14:paraId="59137C68" w14:textId="104B6A7C" w:rsidR="0028404C" w:rsidRPr="002139AB" w:rsidRDefault="0028404C">
      <w:pPr>
        <w:tabs>
          <w:tab w:val="left" w:pos="1635"/>
        </w:tabs>
        <w:spacing w:line="360" w:lineRule="auto"/>
        <w:jc w:val="both"/>
        <w:rPr>
          <w:rFonts w:ascii="Arial" w:eastAsia="Arial" w:hAnsi="Arial" w:cs="Arial"/>
          <w:sz w:val="22"/>
          <w:szCs w:val="22"/>
        </w:rPr>
      </w:pPr>
    </w:p>
    <w:p w14:paraId="0394B6E5" w14:textId="61DF1583" w:rsidR="0028404C" w:rsidRPr="002139AB" w:rsidRDefault="00B200C6" w:rsidP="00B200C6">
      <w:pPr>
        <w:pStyle w:val="Ttulo1"/>
        <w:keepLines w:val="0"/>
        <w:numPr>
          <w:ilvl w:val="0"/>
          <w:numId w:val="12"/>
        </w:numPr>
        <w:spacing w:before="0" w:line="360" w:lineRule="auto"/>
        <w:ind w:left="426"/>
        <w:jc w:val="both"/>
        <w:rPr>
          <w:rFonts w:ascii="Arial" w:eastAsia="Times New Roman" w:hAnsi="Arial" w:cs="Arial"/>
          <w:b/>
          <w:bCs/>
          <w:color w:val="auto"/>
          <w:sz w:val="22"/>
          <w:szCs w:val="22"/>
        </w:rPr>
      </w:pPr>
      <w:bookmarkStart w:id="6" w:name="_Toc69406589"/>
      <w:r w:rsidRPr="002139AB">
        <w:rPr>
          <w:rFonts w:ascii="Arial" w:eastAsia="Times New Roman" w:hAnsi="Arial" w:cs="Arial"/>
          <w:b/>
          <w:bCs/>
          <w:color w:val="auto"/>
          <w:sz w:val="22"/>
          <w:szCs w:val="22"/>
        </w:rPr>
        <w:t>FIJACIÓN DEL ACTO COMBATIDO Y AGRAVIOS.</w:t>
      </w:r>
      <w:bookmarkEnd w:id="6"/>
    </w:p>
    <w:p w14:paraId="46493754" w14:textId="77777777" w:rsidR="00B200C6" w:rsidRPr="002139AB" w:rsidRDefault="00B200C6" w:rsidP="00B200C6">
      <w:pPr>
        <w:rPr>
          <w:rFonts w:eastAsia="Arial"/>
          <w:sz w:val="22"/>
          <w:szCs w:val="22"/>
          <w:highlight w:val="white"/>
        </w:rPr>
      </w:pPr>
    </w:p>
    <w:p w14:paraId="7B3923CA" w14:textId="77777777"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En cuanto a los agravios de quien promueve, y a fin de señalar de manera general los argumentos que hace valer, se hace una síntesis de los mismos, 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5A1EE9DA" w14:textId="77777777" w:rsidR="0028404C" w:rsidRPr="002139AB" w:rsidRDefault="0028404C">
      <w:pPr>
        <w:tabs>
          <w:tab w:val="left" w:pos="1635"/>
        </w:tabs>
        <w:spacing w:line="360" w:lineRule="auto"/>
        <w:jc w:val="both"/>
        <w:rPr>
          <w:rFonts w:ascii="Arial" w:eastAsia="Arial" w:hAnsi="Arial" w:cs="Arial"/>
          <w:sz w:val="22"/>
          <w:szCs w:val="22"/>
        </w:rPr>
      </w:pPr>
    </w:p>
    <w:p w14:paraId="6EFE3891" w14:textId="77777777" w:rsidR="0028404C" w:rsidRPr="002139AB" w:rsidRDefault="00EA44A4">
      <w:pPr>
        <w:tabs>
          <w:tab w:val="left" w:pos="1635"/>
        </w:tabs>
        <w:spacing w:line="360" w:lineRule="auto"/>
        <w:jc w:val="both"/>
        <w:rPr>
          <w:rFonts w:ascii="Arial" w:eastAsia="Arial" w:hAnsi="Arial" w:cs="Arial"/>
          <w:b/>
          <w:sz w:val="22"/>
          <w:szCs w:val="22"/>
        </w:rPr>
      </w:pPr>
      <w:r w:rsidRPr="002139AB">
        <w:rPr>
          <w:rFonts w:ascii="Arial" w:eastAsia="Arial" w:hAnsi="Arial" w:cs="Arial"/>
          <w:sz w:val="22"/>
          <w:szCs w:val="22"/>
        </w:rPr>
        <w:lastRenderedPageBreak/>
        <w:t xml:space="preserve">Entonces, es importante retomar lo que ha determinado la Sala de la SCJN en cuanto a la transcripción de los mismos, jurisprudencia número 2ª./J.58/2010, de rubro: </w:t>
      </w:r>
      <w:r w:rsidRPr="002139AB">
        <w:rPr>
          <w:rFonts w:ascii="Arial" w:eastAsia="Arial" w:hAnsi="Arial" w:cs="Arial"/>
          <w:b/>
          <w:sz w:val="22"/>
          <w:szCs w:val="22"/>
        </w:rPr>
        <w:t>CONCEPTOS DE VIOLACIÓN O AGRAVIOS. PARA CUMPLIR CON LOS PRINCIPIOS DE CONGRUENCIA Y EXHAUSTIVIDAD EN LAS SENTENCIAS DE AMPARO ES INNECESARIA SU TRANSCRIPCIÓN</w:t>
      </w:r>
      <w:r w:rsidRPr="002139AB">
        <w:rPr>
          <w:rFonts w:ascii="Arial" w:eastAsia="Arial" w:hAnsi="Arial" w:cs="Arial"/>
          <w:b/>
          <w:sz w:val="22"/>
          <w:szCs w:val="22"/>
          <w:vertAlign w:val="superscript"/>
        </w:rPr>
        <w:footnoteReference w:id="5"/>
      </w:r>
      <w:r w:rsidRPr="002139AB">
        <w:rPr>
          <w:rFonts w:ascii="Arial" w:eastAsia="Arial" w:hAnsi="Arial" w:cs="Arial"/>
          <w:b/>
          <w:sz w:val="22"/>
          <w:szCs w:val="22"/>
        </w:rPr>
        <w:t xml:space="preserve">. </w:t>
      </w:r>
    </w:p>
    <w:p w14:paraId="29CD13DB" w14:textId="77777777" w:rsidR="0028404C" w:rsidRPr="002139AB" w:rsidRDefault="0028404C">
      <w:pPr>
        <w:tabs>
          <w:tab w:val="left" w:pos="1635"/>
        </w:tabs>
        <w:spacing w:line="360" w:lineRule="auto"/>
        <w:jc w:val="both"/>
        <w:rPr>
          <w:rFonts w:ascii="Arial" w:eastAsia="Arial" w:hAnsi="Arial" w:cs="Arial"/>
          <w:b/>
          <w:sz w:val="22"/>
          <w:szCs w:val="22"/>
        </w:rPr>
      </w:pPr>
    </w:p>
    <w:p w14:paraId="3B7F71BB" w14:textId="77777777"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Cabe señalar que de conformidad con la jurisprudencia 3/2000, de rubro: “</w:t>
      </w:r>
      <w:r w:rsidRPr="002139AB">
        <w:rPr>
          <w:rFonts w:ascii="Arial" w:eastAsia="Arial" w:hAnsi="Arial" w:cs="Arial"/>
          <w:b/>
          <w:sz w:val="22"/>
          <w:szCs w:val="22"/>
        </w:rPr>
        <w:t>AGRAVIOS. PARA TENERLOS POR DEBIDAMENTE CONFIGURADOS ES SUFICIENTE CON EXPRESAR LA CAUSA DE PEDIR</w:t>
      </w:r>
      <w:r w:rsidRPr="002139AB">
        <w:rPr>
          <w:rFonts w:ascii="Arial" w:eastAsia="Arial" w:hAnsi="Arial" w:cs="Arial"/>
          <w:b/>
          <w:sz w:val="22"/>
          <w:szCs w:val="22"/>
          <w:vertAlign w:val="superscript"/>
        </w:rPr>
        <w:footnoteReference w:id="6"/>
      </w:r>
      <w:r w:rsidRPr="002139AB">
        <w:rPr>
          <w:rFonts w:ascii="Arial" w:eastAsia="Arial" w:hAnsi="Arial" w:cs="Arial"/>
          <w:sz w:val="22"/>
          <w:szCs w:val="22"/>
        </w:rPr>
        <w:t>” así como la diversa de rubro: “</w:t>
      </w:r>
      <w:r w:rsidRPr="002139AB">
        <w:rPr>
          <w:rFonts w:ascii="Arial" w:eastAsia="Arial" w:hAnsi="Arial" w:cs="Arial"/>
          <w:b/>
          <w:sz w:val="22"/>
          <w:szCs w:val="22"/>
        </w:rPr>
        <w:t>DEMANDA. ESTUDIO INTEGRAL PARA DESENTRAÑAR LA CAUSA DE PEDIR</w:t>
      </w:r>
      <w:r w:rsidRPr="002139AB">
        <w:rPr>
          <w:rFonts w:ascii="Arial" w:eastAsia="Arial" w:hAnsi="Arial" w:cs="Arial"/>
          <w:b/>
          <w:sz w:val="22"/>
          <w:szCs w:val="22"/>
          <w:vertAlign w:val="superscript"/>
        </w:rPr>
        <w:footnoteReference w:id="7"/>
      </w:r>
      <w:r w:rsidRPr="002139AB">
        <w:rPr>
          <w:rFonts w:ascii="Arial" w:eastAsia="Arial" w:hAnsi="Arial" w:cs="Arial"/>
          <w:sz w:val="22"/>
          <w:szCs w:val="22"/>
        </w:rPr>
        <w:t xml:space="preserve">”, todos los razonamientos y expresiones que aparezcan en la demanda, constituyen un principio de agravio, con independencia de su presentación, formulación o construcción lógica, ya sea como silogismo o mediante cualquier fórmula deductiva o inductiva, por lo que basta que la actora exprese con claridad la causa de pedir, precisando la lesión o agravio que le causa la resolución impugnada y los motivos que originaron ese agravio, para que, con base en ello se pueda advertir de manera plena lo realmente planteado. </w:t>
      </w:r>
    </w:p>
    <w:p w14:paraId="233ADD1D" w14:textId="77777777" w:rsidR="0028404C" w:rsidRPr="002139AB" w:rsidRDefault="0028404C">
      <w:pPr>
        <w:tabs>
          <w:tab w:val="left" w:pos="1635"/>
        </w:tabs>
        <w:spacing w:line="360" w:lineRule="auto"/>
        <w:jc w:val="both"/>
        <w:rPr>
          <w:rFonts w:ascii="Arial" w:eastAsia="Arial" w:hAnsi="Arial" w:cs="Arial"/>
          <w:sz w:val="22"/>
          <w:szCs w:val="22"/>
        </w:rPr>
      </w:pPr>
    </w:p>
    <w:p w14:paraId="244174A2" w14:textId="77777777"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 xml:space="preserve">De igual manera, debe subrayarse que, al tratarse de Juicios para la Protección de los Derechos Político-Electorales del Ciudadano, debe </w:t>
      </w:r>
      <w:r w:rsidRPr="002139AB">
        <w:rPr>
          <w:rFonts w:ascii="Arial" w:eastAsia="Arial" w:hAnsi="Arial" w:cs="Arial"/>
          <w:b/>
          <w:sz w:val="22"/>
          <w:szCs w:val="22"/>
        </w:rPr>
        <w:t>suplirse la deficiencia de la queja</w:t>
      </w:r>
      <w:r w:rsidRPr="002139AB">
        <w:rPr>
          <w:rFonts w:ascii="Arial" w:eastAsia="Arial" w:hAnsi="Arial" w:cs="Arial"/>
          <w:sz w:val="22"/>
          <w:szCs w:val="22"/>
        </w:rPr>
        <w:t xml:space="preserve"> en la exposición de los agravios, siempre y cuando ellos puedan deducirse claramente de los hechos expuestos.</w:t>
      </w:r>
    </w:p>
    <w:p w14:paraId="7E242F2F" w14:textId="69358A32" w:rsidR="0028404C" w:rsidRPr="002139AB" w:rsidRDefault="0028404C">
      <w:pPr>
        <w:tabs>
          <w:tab w:val="left" w:pos="1635"/>
        </w:tabs>
        <w:spacing w:line="360" w:lineRule="auto"/>
        <w:jc w:val="both"/>
        <w:rPr>
          <w:rFonts w:ascii="Arial" w:eastAsia="Arial" w:hAnsi="Arial" w:cs="Arial"/>
          <w:sz w:val="22"/>
          <w:szCs w:val="22"/>
        </w:rPr>
      </w:pPr>
    </w:p>
    <w:p w14:paraId="4D331117" w14:textId="77777777" w:rsidR="0028404C" w:rsidRPr="002139AB" w:rsidRDefault="00EA44A4">
      <w:pPr>
        <w:tabs>
          <w:tab w:val="left" w:pos="1635"/>
        </w:tabs>
        <w:spacing w:line="360" w:lineRule="auto"/>
        <w:jc w:val="both"/>
        <w:rPr>
          <w:rFonts w:ascii="Arial" w:eastAsia="Arial" w:hAnsi="Arial" w:cs="Arial"/>
          <w:b/>
          <w:sz w:val="22"/>
          <w:szCs w:val="22"/>
        </w:rPr>
      </w:pPr>
      <w:r w:rsidRPr="002139AB">
        <w:rPr>
          <w:rFonts w:ascii="Arial" w:eastAsia="Arial" w:hAnsi="Arial" w:cs="Arial"/>
          <w:b/>
          <w:sz w:val="22"/>
          <w:szCs w:val="22"/>
        </w:rPr>
        <w:t>4.1. Síntesis de los agravios.</w:t>
      </w:r>
    </w:p>
    <w:p w14:paraId="3B23724D" w14:textId="77777777" w:rsidR="0028404C" w:rsidRPr="002139AB" w:rsidRDefault="0028404C">
      <w:pPr>
        <w:tabs>
          <w:tab w:val="left" w:pos="1635"/>
        </w:tabs>
        <w:spacing w:line="360" w:lineRule="auto"/>
        <w:jc w:val="both"/>
        <w:rPr>
          <w:rFonts w:ascii="Arial" w:eastAsia="Arial" w:hAnsi="Arial" w:cs="Arial"/>
          <w:b/>
          <w:sz w:val="22"/>
          <w:szCs w:val="22"/>
        </w:rPr>
      </w:pPr>
    </w:p>
    <w:p w14:paraId="59E4D0BC" w14:textId="6B3D8B81"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Este Tribunal, en ejercicio de sus atribuciones, procede a analizar de manera íntegra el escrito de demanda, a efecto de identificar los agravios, con independencia de su ubicación; y, en su caso, se suplirá la deficiencia en la expresión de la inconformidad para desprender el perjuicio que señala la parte actora y salvaguardar su garantía de acceso a la justicia, sin que lo anterior, implique una suplencia total ante la ausencia de hechos de los que se desprendan agravios, ya que corresponde a la parte actora, la carga de indicar al menos la lesión que ocasiona el acto o resolución impugnada, así como los motivos que originaron ese perjuicio.</w:t>
      </w:r>
    </w:p>
    <w:p w14:paraId="331DB832" w14:textId="77777777" w:rsidR="00A779DA" w:rsidRPr="002139AB" w:rsidRDefault="00A779DA">
      <w:pPr>
        <w:tabs>
          <w:tab w:val="left" w:pos="1635"/>
        </w:tabs>
        <w:spacing w:line="360" w:lineRule="auto"/>
        <w:jc w:val="both"/>
        <w:rPr>
          <w:rFonts w:ascii="Arial" w:eastAsia="Arial" w:hAnsi="Arial" w:cs="Arial"/>
          <w:sz w:val="22"/>
          <w:szCs w:val="22"/>
        </w:rPr>
      </w:pPr>
    </w:p>
    <w:p w14:paraId="4156D6EC" w14:textId="77777777"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En ese tenor, es importante resaltar que, en apego a los derechos humanos de acceso a la jurisdicción y tutela judicial efectiva contenido en los artículos 17, párrafo segundo de la Constitución Federal; 8.1 de la Convención Americana de Derechos Humanos y; 14.1 del Pacto Internacional de Derechos Civiles y Políticos</w:t>
      </w:r>
      <w:r w:rsidRPr="002139AB">
        <w:rPr>
          <w:rFonts w:ascii="Arial" w:eastAsia="Arial" w:hAnsi="Arial" w:cs="Arial"/>
          <w:sz w:val="22"/>
          <w:szCs w:val="22"/>
          <w:vertAlign w:val="superscript"/>
        </w:rPr>
        <w:footnoteReference w:id="8"/>
      </w:r>
      <w:r w:rsidRPr="002139AB">
        <w:rPr>
          <w:rFonts w:ascii="Arial" w:eastAsia="Arial" w:hAnsi="Arial" w:cs="Arial"/>
          <w:sz w:val="22"/>
          <w:szCs w:val="22"/>
        </w:rPr>
        <w:t xml:space="preserve">, los jueces nacionales deben tomar medidas que faciliten que los planteamientos de los justiciables reciban un tratamiento tal, que otorguen la máxima protección posible de sus derechos, para lo cual, no debe atenderse únicamente a la literalidad de sus </w:t>
      </w:r>
      <w:r w:rsidRPr="002139AB">
        <w:rPr>
          <w:rFonts w:ascii="Arial" w:eastAsia="Arial" w:hAnsi="Arial" w:cs="Arial"/>
          <w:sz w:val="22"/>
          <w:szCs w:val="22"/>
        </w:rPr>
        <w:lastRenderedPageBreak/>
        <w:t>afirmaciones, sino al sentido integral de estas y, en el caso de que el marco jurídico lo permita, a considerarlos en la forma que más les favorezca</w:t>
      </w:r>
    </w:p>
    <w:p w14:paraId="3B7FF892" w14:textId="77777777" w:rsidR="0028404C" w:rsidRPr="002139AB" w:rsidRDefault="0028404C">
      <w:pPr>
        <w:tabs>
          <w:tab w:val="left" w:pos="1635"/>
        </w:tabs>
        <w:spacing w:line="360" w:lineRule="auto"/>
        <w:jc w:val="both"/>
        <w:rPr>
          <w:rFonts w:ascii="Arial" w:eastAsia="Arial" w:hAnsi="Arial" w:cs="Arial"/>
          <w:sz w:val="22"/>
          <w:szCs w:val="22"/>
        </w:rPr>
      </w:pPr>
    </w:p>
    <w:p w14:paraId="376FD4E7" w14:textId="77777777" w:rsidR="0028404C" w:rsidRPr="002139AB" w:rsidRDefault="00EA44A4">
      <w:pPr>
        <w:tabs>
          <w:tab w:val="left" w:pos="1635"/>
        </w:tabs>
        <w:spacing w:line="360" w:lineRule="auto"/>
        <w:jc w:val="both"/>
        <w:rPr>
          <w:rFonts w:ascii="Arial" w:eastAsia="Arial" w:hAnsi="Arial" w:cs="Arial"/>
          <w:b/>
          <w:sz w:val="22"/>
          <w:szCs w:val="22"/>
        </w:rPr>
      </w:pPr>
      <w:r w:rsidRPr="002139AB">
        <w:rPr>
          <w:rFonts w:ascii="Arial" w:eastAsia="Arial" w:hAnsi="Arial" w:cs="Arial"/>
          <w:sz w:val="22"/>
          <w:szCs w:val="22"/>
        </w:rPr>
        <w:t xml:space="preserve">Además, se tiene en cuenta que para la expresión de la inconformidad no es necesario que se emplee una determinada fórmula o se siga un silogismo; para tener configurado el agravio, basta con que se señale claramente la causa de pedir, como se razona en la Jurisprudencia 2/98 de la Sala Superior, de rubro: </w:t>
      </w:r>
      <w:r w:rsidRPr="002139AB">
        <w:rPr>
          <w:rFonts w:ascii="Arial" w:eastAsia="Arial" w:hAnsi="Arial" w:cs="Arial"/>
          <w:b/>
          <w:sz w:val="22"/>
          <w:szCs w:val="22"/>
        </w:rPr>
        <w:t>“AGRAVIOS. PUEDEN ENCONTRARSE EN CUALQUIER PARTE DEL ESCRITO INICIAL”</w:t>
      </w:r>
    </w:p>
    <w:p w14:paraId="58476FEB" w14:textId="77777777" w:rsidR="0028404C" w:rsidRPr="002139AB" w:rsidRDefault="0028404C">
      <w:pPr>
        <w:tabs>
          <w:tab w:val="left" w:pos="1635"/>
        </w:tabs>
        <w:spacing w:line="360" w:lineRule="auto"/>
        <w:jc w:val="both"/>
        <w:rPr>
          <w:rFonts w:ascii="Arial" w:eastAsia="Arial" w:hAnsi="Arial" w:cs="Arial"/>
          <w:b/>
          <w:sz w:val="22"/>
          <w:szCs w:val="22"/>
        </w:rPr>
      </w:pPr>
    </w:p>
    <w:p w14:paraId="479D6795" w14:textId="77777777"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Así, en acatamiento al principio de economía procesal y, por no constituir un deber jurídico a cargo de este Tribunal su inclusión en el texto del presente fallo, se estima innecesario transcribir los agravios de quienes impugnan</w:t>
      </w:r>
      <w:r w:rsidRPr="002139AB">
        <w:rPr>
          <w:rFonts w:ascii="Arial" w:eastAsia="Arial" w:hAnsi="Arial" w:cs="Arial"/>
          <w:sz w:val="22"/>
          <w:szCs w:val="22"/>
          <w:vertAlign w:val="superscript"/>
        </w:rPr>
        <w:footnoteReference w:id="9"/>
      </w:r>
      <w:r w:rsidRPr="002139AB">
        <w:rPr>
          <w:rFonts w:ascii="Arial" w:eastAsia="Arial" w:hAnsi="Arial" w:cs="Arial"/>
          <w:sz w:val="22"/>
          <w:szCs w:val="22"/>
        </w:rPr>
        <w:t xml:space="preserve"> más cuando se tienen a la vista en el expediente para su debido análisis; no obstante, y con la finalidad de resolver con claridad el presente asunto, se realiza la síntesis correspondiente.</w:t>
      </w:r>
    </w:p>
    <w:p w14:paraId="7C9B9777" w14:textId="77777777" w:rsidR="0028404C" w:rsidRPr="002139AB" w:rsidRDefault="0028404C">
      <w:pPr>
        <w:tabs>
          <w:tab w:val="left" w:pos="1635"/>
        </w:tabs>
        <w:spacing w:line="360" w:lineRule="auto"/>
        <w:jc w:val="both"/>
        <w:rPr>
          <w:rFonts w:ascii="Arial" w:eastAsia="Arial" w:hAnsi="Arial" w:cs="Arial"/>
          <w:b/>
          <w:sz w:val="22"/>
          <w:szCs w:val="22"/>
        </w:rPr>
      </w:pPr>
    </w:p>
    <w:p w14:paraId="780EB659" w14:textId="6BF2F5ED" w:rsidR="0028404C" w:rsidRPr="002139AB"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 xml:space="preserve">Del análisis integral del escrito de demanda, este órgano jurisdiccional local advierte esencialmente la fijación </w:t>
      </w:r>
      <w:r w:rsidR="008A6288" w:rsidRPr="002139AB">
        <w:rPr>
          <w:rFonts w:ascii="Arial" w:eastAsia="Arial" w:hAnsi="Arial" w:cs="Arial"/>
          <w:sz w:val="22"/>
          <w:szCs w:val="22"/>
        </w:rPr>
        <w:t xml:space="preserve">de </w:t>
      </w:r>
      <w:r w:rsidR="008B15B7" w:rsidRPr="002139AB">
        <w:rPr>
          <w:rFonts w:ascii="Arial" w:eastAsia="Arial" w:hAnsi="Arial" w:cs="Arial"/>
          <w:sz w:val="22"/>
          <w:szCs w:val="22"/>
        </w:rPr>
        <w:t>un</w:t>
      </w:r>
      <w:r w:rsidRPr="002139AB">
        <w:rPr>
          <w:rFonts w:ascii="Arial" w:eastAsia="Arial" w:hAnsi="Arial" w:cs="Arial"/>
          <w:sz w:val="22"/>
          <w:szCs w:val="22"/>
        </w:rPr>
        <w:t xml:space="preserve"> agravio vertido, del cual se desprenden los elementos que se precisan enseguida:</w:t>
      </w:r>
    </w:p>
    <w:p w14:paraId="62D186B9" w14:textId="1B2A4A57" w:rsidR="008B15B7" w:rsidRPr="002139AB" w:rsidRDefault="008B15B7">
      <w:pPr>
        <w:tabs>
          <w:tab w:val="left" w:pos="1635"/>
        </w:tabs>
        <w:spacing w:line="360" w:lineRule="auto"/>
        <w:jc w:val="both"/>
        <w:rPr>
          <w:rFonts w:ascii="Arial" w:eastAsia="Arial" w:hAnsi="Arial" w:cs="Arial"/>
          <w:sz w:val="22"/>
          <w:szCs w:val="22"/>
        </w:rPr>
      </w:pPr>
    </w:p>
    <w:p w14:paraId="592F54B4" w14:textId="606B29BD" w:rsidR="002A3DC7" w:rsidRDefault="002A3DC7" w:rsidP="00E76141">
      <w:pPr>
        <w:pStyle w:val="Prrafodelista"/>
        <w:numPr>
          <w:ilvl w:val="0"/>
          <w:numId w:val="22"/>
        </w:numPr>
        <w:tabs>
          <w:tab w:val="left" w:pos="1635"/>
        </w:tabs>
        <w:spacing w:line="360" w:lineRule="auto"/>
        <w:jc w:val="both"/>
        <w:rPr>
          <w:rFonts w:ascii="Arial" w:eastAsia="Arial" w:hAnsi="Arial" w:cs="Arial"/>
          <w:sz w:val="22"/>
          <w:szCs w:val="22"/>
        </w:rPr>
      </w:pPr>
      <w:r>
        <w:rPr>
          <w:rFonts w:ascii="Arial" w:eastAsia="Arial" w:hAnsi="Arial" w:cs="Arial"/>
          <w:sz w:val="22"/>
          <w:szCs w:val="22"/>
        </w:rPr>
        <w:t xml:space="preserve">Acusa que el PAN, indebidamente instauró un procedimiento </w:t>
      </w:r>
      <w:r w:rsidRPr="00BF6A32">
        <w:rPr>
          <w:rFonts w:ascii="Arial" w:eastAsia="Arial" w:hAnsi="Arial" w:cs="Arial"/>
          <w:b/>
          <w:bCs/>
          <w:sz w:val="22"/>
          <w:szCs w:val="22"/>
        </w:rPr>
        <w:t>sumarísimo</w:t>
      </w:r>
      <w:r>
        <w:rPr>
          <w:rFonts w:ascii="Arial" w:eastAsia="Arial" w:hAnsi="Arial" w:cs="Arial"/>
          <w:sz w:val="22"/>
          <w:szCs w:val="22"/>
        </w:rPr>
        <w:t xml:space="preserve"> y de forma intempestiva</w:t>
      </w:r>
      <w:r w:rsidR="00715D5C">
        <w:rPr>
          <w:rFonts w:ascii="Arial" w:eastAsia="Arial" w:hAnsi="Arial" w:cs="Arial"/>
          <w:sz w:val="22"/>
          <w:szCs w:val="22"/>
        </w:rPr>
        <w:t xml:space="preserve"> y subrepticia</w:t>
      </w:r>
      <w:r>
        <w:rPr>
          <w:rFonts w:ascii="Arial" w:eastAsia="Arial" w:hAnsi="Arial" w:cs="Arial"/>
          <w:sz w:val="22"/>
          <w:szCs w:val="22"/>
        </w:rPr>
        <w:t xml:space="preserve"> en relación al cumplimiento de la sentencia dictada por la Sala Regional </w:t>
      </w:r>
      <w:r w:rsidR="00EF082D">
        <w:rPr>
          <w:rFonts w:ascii="Arial" w:eastAsia="Arial" w:hAnsi="Arial" w:cs="Arial"/>
          <w:sz w:val="22"/>
          <w:szCs w:val="22"/>
        </w:rPr>
        <w:t>Monterrey,</w:t>
      </w:r>
      <w:r>
        <w:rPr>
          <w:rFonts w:ascii="Arial" w:eastAsia="Arial" w:hAnsi="Arial" w:cs="Arial"/>
          <w:sz w:val="22"/>
          <w:szCs w:val="22"/>
        </w:rPr>
        <w:t xml:space="preserve"> lo que no garantizó a la militancia una oportunidad efectiva de participación</w:t>
      </w:r>
      <w:r w:rsidR="00EF082D">
        <w:rPr>
          <w:rFonts w:ascii="Arial" w:eastAsia="Arial" w:hAnsi="Arial" w:cs="Arial"/>
          <w:sz w:val="22"/>
          <w:szCs w:val="22"/>
        </w:rPr>
        <w:t xml:space="preserve"> en el distrito local electoral XIV.</w:t>
      </w:r>
    </w:p>
    <w:p w14:paraId="2F5E7A84" w14:textId="568EF30B" w:rsidR="00BF6A32" w:rsidRDefault="00BF6A32" w:rsidP="00BF6A32">
      <w:pPr>
        <w:pStyle w:val="Prrafodelista"/>
        <w:tabs>
          <w:tab w:val="left" w:pos="1635"/>
        </w:tabs>
        <w:spacing w:line="360" w:lineRule="auto"/>
        <w:jc w:val="both"/>
        <w:rPr>
          <w:rFonts w:ascii="Arial" w:eastAsia="Arial" w:hAnsi="Arial" w:cs="Arial"/>
          <w:sz w:val="22"/>
          <w:szCs w:val="22"/>
        </w:rPr>
      </w:pPr>
    </w:p>
    <w:p w14:paraId="42F037AA" w14:textId="6FF49F3D" w:rsidR="00BF6A32" w:rsidRDefault="00BF6A32" w:rsidP="00BF6A32">
      <w:pPr>
        <w:pStyle w:val="Prrafodelista"/>
        <w:tabs>
          <w:tab w:val="left" w:pos="1635"/>
        </w:tabs>
        <w:spacing w:line="360" w:lineRule="auto"/>
        <w:jc w:val="both"/>
        <w:rPr>
          <w:rFonts w:ascii="Arial" w:eastAsia="Arial" w:hAnsi="Arial" w:cs="Arial"/>
          <w:sz w:val="22"/>
          <w:szCs w:val="22"/>
        </w:rPr>
      </w:pPr>
      <w:r>
        <w:rPr>
          <w:rFonts w:ascii="Arial" w:eastAsia="Arial" w:hAnsi="Arial" w:cs="Arial"/>
          <w:sz w:val="22"/>
          <w:szCs w:val="22"/>
        </w:rPr>
        <w:t xml:space="preserve">Lo anterior, ya que </w:t>
      </w:r>
      <w:r w:rsidRPr="00BD5DC3">
        <w:rPr>
          <w:rFonts w:ascii="Arial" w:eastAsia="Arial" w:hAnsi="Arial" w:cs="Arial"/>
          <w:sz w:val="22"/>
          <w:szCs w:val="22"/>
        </w:rPr>
        <w:t>la convocatoria únicamente duró dieciséis horas, lo que hacía materialmente imposible que los militantes se encontraran en condiciones de conocer la existencia de referida vacante y concurrir al proceso de postulación</w:t>
      </w:r>
      <w:r>
        <w:rPr>
          <w:rFonts w:ascii="Arial" w:eastAsia="Arial" w:hAnsi="Arial" w:cs="Arial"/>
          <w:sz w:val="22"/>
          <w:szCs w:val="22"/>
        </w:rPr>
        <w:t>; lo que acredita la irracionabilidad y desproporción del plazo de publicidad y registro que la autoridad partidista otorgó al procedimiento.</w:t>
      </w:r>
    </w:p>
    <w:p w14:paraId="450EC5B6" w14:textId="14945292" w:rsidR="00BF6A32" w:rsidRDefault="00BF6A32" w:rsidP="00BF6A32">
      <w:pPr>
        <w:pStyle w:val="Prrafodelista"/>
        <w:tabs>
          <w:tab w:val="left" w:pos="1635"/>
        </w:tabs>
        <w:spacing w:line="360" w:lineRule="auto"/>
        <w:jc w:val="both"/>
        <w:rPr>
          <w:rFonts w:ascii="Arial" w:eastAsia="Arial" w:hAnsi="Arial" w:cs="Arial"/>
          <w:sz w:val="22"/>
          <w:szCs w:val="22"/>
        </w:rPr>
      </w:pPr>
    </w:p>
    <w:p w14:paraId="09FF0C6D" w14:textId="21E79901" w:rsidR="00EF082D" w:rsidRDefault="00EF082D" w:rsidP="00EF082D">
      <w:pPr>
        <w:pStyle w:val="Prrafodelista"/>
        <w:numPr>
          <w:ilvl w:val="0"/>
          <w:numId w:val="22"/>
        </w:numPr>
        <w:tabs>
          <w:tab w:val="left" w:pos="1635"/>
        </w:tabs>
        <w:spacing w:line="360" w:lineRule="auto"/>
        <w:jc w:val="both"/>
        <w:rPr>
          <w:rFonts w:ascii="Arial" w:eastAsia="Arial" w:hAnsi="Arial" w:cs="Arial"/>
          <w:sz w:val="22"/>
          <w:szCs w:val="22"/>
        </w:rPr>
      </w:pPr>
      <w:r>
        <w:rPr>
          <w:rFonts w:ascii="Arial" w:eastAsia="Arial" w:hAnsi="Arial" w:cs="Arial"/>
          <w:sz w:val="22"/>
          <w:szCs w:val="22"/>
        </w:rPr>
        <w:t>Luego,</w:t>
      </w:r>
      <w:r w:rsidRPr="002139AB">
        <w:rPr>
          <w:rFonts w:ascii="Arial" w:eastAsia="Arial" w:hAnsi="Arial" w:cs="Arial"/>
          <w:sz w:val="22"/>
          <w:szCs w:val="22"/>
        </w:rPr>
        <w:t xml:space="preserve"> apunta </w:t>
      </w:r>
      <w:r>
        <w:rPr>
          <w:rFonts w:ascii="Arial" w:eastAsia="Arial" w:hAnsi="Arial" w:cs="Arial"/>
          <w:sz w:val="22"/>
          <w:szCs w:val="22"/>
        </w:rPr>
        <w:t xml:space="preserve">una </w:t>
      </w:r>
      <w:r w:rsidRPr="001B2582">
        <w:rPr>
          <w:rFonts w:ascii="Arial" w:eastAsia="Arial" w:hAnsi="Arial" w:cs="Arial"/>
          <w:sz w:val="22"/>
          <w:szCs w:val="22"/>
        </w:rPr>
        <w:t>violación al principio constitucional de</w:t>
      </w:r>
      <w:r w:rsidRPr="00BD5DC3">
        <w:rPr>
          <w:rFonts w:ascii="Arial" w:eastAsia="Arial" w:hAnsi="Arial" w:cs="Arial"/>
          <w:b/>
          <w:bCs/>
          <w:sz w:val="22"/>
          <w:szCs w:val="22"/>
        </w:rPr>
        <w:t xml:space="preserve"> máxima publicidad</w:t>
      </w:r>
      <w:r>
        <w:rPr>
          <w:rFonts w:ascii="Arial" w:eastAsia="Arial" w:hAnsi="Arial" w:cs="Arial"/>
          <w:sz w:val="22"/>
          <w:szCs w:val="22"/>
        </w:rPr>
        <w:t xml:space="preserve">, puesto que a dicho del promovente, el PAN, omitió dar a conocer a su militancia, </w:t>
      </w:r>
      <w:r w:rsidRPr="00EF082D">
        <w:rPr>
          <w:rFonts w:ascii="Arial" w:eastAsia="Arial" w:hAnsi="Arial" w:cs="Arial"/>
          <w:i/>
          <w:iCs/>
          <w:sz w:val="22"/>
          <w:szCs w:val="22"/>
        </w:rPr>
        <w:t>-por medios idóneos y con antelación razonable-</w:t>
      </w:r>
      <w:r>
        <w:rPr>
          <w:rFonts w:ascii="Arial" w:eastAsia="Arial" w:hAnsi="Arial" w:cs="Arial"/>
          <w:sz w:val="22"/>
          <w:szCs w:val="22"/>
        </w:rPr>
        <w:t xml:space="preserve"> la presentación de las renuncias de quienes fueron postulados como candidatos a diputados locales dentro del distro local electoral XIV, lo que </w:t>
      </w:r>
      <w:bookmarkStart w:id="7" w:name="_Hlk73443642"/>
      <w:r>
        <w:rPr>
          <w:rFonts w:ascii="Arial" w:eastAsia="Arial" w:hAnsi="Arial" w:cs="Arial"/>
          <w:sz w:val="22"/>
          <w:szCs w:val="22"/>
        </w:rPr>
        <w:t>menoscabó su derecho de poder conocer el hecho y, en consecuencia, estar en posibilidad de participar en el procedimiento interno de designación de candidatos.</w:t>
      </w:r>
    </w:p>
    <w:bookmarkEnd w:id="7"/>
    <w:p w14:paraId="360F0F6D" w14:textId="61C11585" w:rsidR="009B7935" w:rsidRDefault="009B7935" w:rsidP="009B7935">
      <w:pPr>
        <w:pStyle w:val="Prrafodelista"/>
        <w:numPr>
          <w:ilvl w:val="0"/>
          <w:numId w:val="22"/>
        </w:numPr>
        <w:tabs>
          <w:tab w:val="left" w:pos="1635"/>
        </w:tabs>
        <w:spacing w:line="360" w:lineRule="auto"/>
        <w:jc w:val="both"/>
        <w:rPr>
          <w:rFonts w:ascii="Arial" w:eastAsia="Arial" w:hAnsi="Arial" w:cs="Arial"/>
          <w:sz w:val="22"/>
          <w:szCs w:val="22"/>
        </w:rPr>
      </w:pPr>
      <w:r>
        <w:rPr>
          <w:rFonts w:ascii="Arial" w:eastAsia="Arial" w:hAnsi="Arial" w:cs="Arial"/>
          <w:sz w:val="22"/>
          <w:szCs w:val="22"/>
        </w:rPr>
        <w:lastRenderedPageBreak/>
        <w:t xml:space="preserve">Además, acusa que </w:t>
      </w:r>
      <w:r w:rsidR="00AA42AA">
        <w:rPr>
          <w:rFonts w:ascii="Arial" w:eastAsia="Arial" w:hAnsi="Arial" w:cs="Arial"/>
          <w:sz w:val="22"/>
          <w:szCs w:val="22"/>
        </w:rPr>
        <w:t>la sentencia SM-J</w:t>
      </w:r>
      <w:r w:rsidR="00B9151E">
        <w:rPr>
          <w:rFonts w:ascii="Arial" w:eastAsia="Arial" w:hAnsi="Arial" w:cs="Arial"/>
          <w:sz w:val="22"/>
          <w:szCs w:val="22"/>
        </w:rPr>
        <w:t>RC-065/2021</w:t>
      </w:r>
      <w:r>
        <w:rPr>
          <w:rFonts w:ascii="Arial" w:eastAsia="Arial" w:hAnsi="Arial" w:cs="Arial"/>
          <w:sz w:val="22"/>
          <w:szCs w:val="22"/>
        </w:rPr>
        <w:t xml:space="preserve">, no resultaba </w:t>
      </w:r>
      <w:r w:rsidRPr="00177B11">
        <w:rPr>
          <w:rFonts w:ascii="Arial" w:eastAsia="Arial" w:hAnsi="Arial" w:cs="Arial"/>
          <w:b/>
          <w:bCs/>
          <w:sz w:val="22"/>
          <w:szCs w:val="22"/>
        </w:rPr>
        <w:t xml:space="preserve">vinculante </w:t>
      </w:r>
      <w:r>
        <w:rPr>
          <w:rFonts w:ascii="Arial" w:eastAsia="Arial" w:hAnsi="Arial" w:cs="Arial"/>
          <w:sz w:val="22"/>
          <w:szCs w:val="22"/>
        </w:rPr>
        <w:t>para el PAN en relación al distrito XIV, ya que únicamente se vinculó la sustitución de las postulaciones de los distritos XI, XV y XVII; por lo que</w:t>
      </w:r>
      <w:r w:rsidR="00B9151E">
        <w:rPr>
          <w:rFonts w:ascii="Arial" w:eastAsia="Arial" w:hAnsi="Arial" w:cs="Arial"/>
          <w:sz w:val="22"/>
          <w:szCs w:val="22"/>
        </w:rPr>
        <w:t xml:space="preserve"> resulta arbitrario e indebido que la autoridad partidista determinara instaurar un procedimiento sumario en relación al distrito XIV.</w:t>
      </w:r>
    </w:p>
    <w:p w14:paraId="7ACF9087" w14:textId="77777777" w:rsidR="009B7935" w:rsidRDefault="009B7935" w:rsidP="009B7935">
      <w:pPr>
        <w:pStyle w:val="Prrafodelista"/>
        <w:tabs>
          <w:tab w:val="left" w:pos="1635"/>
        </w:tabs>
        <w:spacing w:line="360" w:lineRule="auto"/>
        <w:jc w:val="both"/>
        <w:rPr>
          <w:rFonts w:ascii="Arial" w:eastAsia="Arial" w:hAnsi="Arial" w:cs="Arial"/>
          <w:sz w:val="22"/>
          <w:szCs w:val="22"/>
        </w:rPr>
      </w:pPr>
    </w:p>
    <w:p w14:paraId="6F997FB6" w14:textId="2B3A56AA" w:rsidR="00BD5DC3" w:rsidRPr="003E5AE3" w:rsidRDefault="00EF082D" w:rsidP="00BD5DC3">
      <w:pPr>
        <w:pStyle w:val="Prrafodelista"/>
        <w:numPr>
          <w:ilvl w:val="0"/>
          <w:numId w:val="22"/>
        </w:numPr>
        <w:tabs>
          <w:tab w:val="left" w:pos="1635"/>
        </w:tabs>
        <w:spacing w:line="360" w:lineRule="auto"/>
        <w:jc w:val="both"/>
        <w:rPr>
          <w:rFonts w:ascii="Arial" w:eastAsia="Arial" w:hAnsi="Arial" w:cs="Arial"/>
          <w:sz w:val="22"/>
          <w:szCs w:val="22"/>
        </w:rPr>
      </w:pPr>
      <w:r w:rsidRPr="003E5AE3">
        <w:rPr>
          <w:rFonts w:ascii="Arial" w:eastAsia="Arial" w:hAnsi="Arial" w:cs="Arial"/>
          <w:sz w:val="22"/>
          <w:szCs w:val="22"/>
        </w:rPr>
        <w:t>Por otra parte</w:t>
      </w:r>
      <w:r w:rsidR="00BD5DC3" w:rsidRPr="003E5AE3">
        <w:rPr>
          <w:rFonts w:ascii="Arial" w:eastAsia="Arial" w:hAnsi="Arial" w:cs="Arial"/>
          <w:sz w:val="22"/>
          <w:szCs w:val="22"/>
        </w:rPr>
        <w:t xml:space="preserve">, invoca una </w:t>
      </w:r>
      <w:r w:rsidR="00BD5DC3" w:rsidRPr="003E5AE3">
        <w:rPr>
          <w:rFonts w:ascii="Arial" w:eastAsia="Arial" w:hAnsi="Arial" w:cs="Arial"/>
          <w:b/>
          <w:bCs/>
          <w:sz w:val="22"/>
          <w:szCs w:val="22"/>
        </w:rPr>
        <w:t>violación a los principios de certeza y objetividad</w:t>
      </w:r>
      <w:r w:rsidR="00BD5DC3" w:rsidRPr="003E5AE3">
        <w:rPr>
          <w:rFonts w:ascii="Arial" w:eastAsia="Arial" w:hAnsi="Arial" w:cs="Arial"/>
          <w:sz w:val="22"/>
          <w:szCs w:val="22"/>
        </w:rPr>
        <w:t>, en razón de que la autoridad responsable, indebidamente subsumió el procedimiento relativo a la renuncia y sustitución de la candidatura del distrito XIV, dentro del procedimiento de sustitución de las candidaturas a los distritos XI, XV y XVII.</w:t>
      </w:r>
    </w:p>
    <w:p w14:paraId="552626D2" w14:textId="77777777" w:rsidR="00EF082D" w:rsidRPr="00EF082D" w:rsidRDefault="00EF082D" w:rsidP="00EF082D">
      <w:pPr>
        <w:pStyle w:val="Prrafodelista"/>
        <w:rPr>
          <w:rFonts w:ascii="Arial" w:eastAsia="Arial" w:hAnsi="Arial" w:cs="Arial"/>
          <w:sz w:val="22"/>
          <w:szCs w:val="22"/>
        </w:rPr>
      </w:pPr>
    </w:p>
    <w:p w14:paraId="781B94BE" w14:textId="1F0EBC63" w:rsidR="00EF082D" w:rsidRDefault="00EF082D" w:rsidP="00EF082D">
      <w:pPr>
        <w:pStyle w:val="Prrafodelista"/>
        <w:tabs>
          <w:tab w:val="left" w:pos="1635"/>
        </w:tabs>
        <w:spacing w:line="360" w:lineRule="auto"/>
        <w:jc w:val="both"/>
        <w:rPr>
          <w:rFonts w:ascii="Arial" w:eastAsia="Arial" w:hAnsi="Arial" w:cs="Arial"/>
          <w:sz w:val="22"/>
          <w:szCs w:val="22"/>
        </w:rPr>
      </w:pPr>
      <w:r>
        <w:rPr>
          <w:rFonts w:ascii="Arial" w:eastAsia="Arial" w:hAnsi="Arial" w:cs="Arial"/>
          <w:sz w:val="22"/>
          <w:szCs w:val="22"/>
        </w:rPr>
        <w:t xml:space="preserve">Concluye, manifestando que </w:t>
      </w:r>
      <w:r w:rsidR="008A46C3">
        <w:rPr>
          <w:rFonts w:ascii="Arial" w:eastAsia="Arial" w:hAnsi="Arial" w:cs="Arial"/>
          <w:sz w:val="22"/>
          <w:szCs w:val="22"/>
        </w:rPr>
        <w:t>el conjunto de procedimientos combatidos adolece</w:t>
      </w:r>
      <w:r>
        <w:rPr>
          <w:rFonts w:ascii="Arial" w:eastAsia="Arial" w:hAnsi="Arial" w:cs="Arial"/>
          <w:sz w:val="22"/>
          <w:szCs w:val="22"/>
        </w:rPr>
        <w:t xml:space="preserve"> de objetividad como de certeza en </w:t>
      </w:r>
      <w:r w:rsidR="007E365A">
        <w:rPr>
          <w:rFonts w:ascii="Arial" w:eastAsia="Arial" w:hAnsi="Arial" w:cs="Arial"/>
          <w:sz w:val="22"/>
          <w:szCs w:val="22"/>
        </w:rPr>
        <w:t>relación</w:t>
      </w:r>
      <w:r>
        <w:rPr>
          <w:rFonts w:ascii="Arial" w:eastAsia="Arial" w:hAnsi="Arial" w:cs="Arial"/>
          <w:sz w:val="22"/>
          <w:szCs w:val="22"/>
        </w:rPr>
        <w:t xml:space="preserve"> a</w:t>
      </w:r>
      <w:r w:rsidR="008A46C3">
        <w:rPr>
          <w:rFonts w:ascii="Arial" w:eastAsia="Arial" w:hAnsi="Arial" w:cs="Arial"/>
          <w:sz w:val="22"/>
          <w:szCs w:val="22"/>
        </w:rPr>
        <w:t xml:space="preserve"> </w:t>
      </w:r>
      <w:r>
        <w:rPr>
          <w:rFonts w:ascii="Arial" w:eastAsia="Arial" w:hAnsi="Arial" w:cs="Arial"/>
          <w:sz w:val="22"/>
          <w:szCs w:val="22"/>
        </w:rPr>
        <w:t>la justificación, contenido y alcance de las mismas</w:t>
      </w:r>
      <w:r w:rsidR="007E365A">
        <w:rPr>
          <w:rFonts w:ascii="Arial" w:eastAsia="Arial" w:hAnsi="Arial" w:cs="Arial"/>
          <w:sz w:val="22"/>
          <w:szCs w:val="22"/>
        </w:rPr>
        <w:t>.</w:t>
      </w:r>
    </w:p>
    <w:p w14:paraId="2827AED5" w14:textId="156AE1AC" w:rsidR="00BD5DC3" w:rsidRDefault="00BD5DC3" w:rsidP="00BD5DC3">
      <w:pPr>
        <w:pStyle w:val="Prrafodelista"/>
        <w:tabs>
          <w:tab w:val="left" w:pos="1635"/>
        </w:tabs>
        <w:spacing w:line="360" w:lineRule="auto"/>
        <w:jc w:val="both"/>
        <w:rPr>
          <w:rFonts w:ascii="Arial" w:eastAsia="Arial" w:hAnsi="Arial" w:cs="Arial"/>
          <w:sz w:val="22"/>
          <w:szCs w:val="22"/>
        </w:rPr>
      </w:pPr>
    </w:p>
    <w:p w14:paraId="5C3E182D" w14:textId="0AA01135" w:rsidR="00083F5A" w:rsidRPr="002139AB" w:rsidRDefault="00083F5A">
      <w:pPr>
        <w:tabs>
          <w:tab w:val="left" w:pos="1635"/>
        </w:tabs>
        <w:spacing w:line="360" w:lineRule="auto"/>
        <w:jc w:val="both"/>
        <w:rPr>
          <w:rFonts w:ascii="Arial" w:eastAsia="Arial" w:hAnsi="Arial" w:cs="Arial"/>
          <w:b/>
          <w:sz w:val="22"/>
          <w:szCs w:val="22"/>
        </w:rPr>
      </w:pPr>
      <w:r w:rsidRPr="002139AB">
        <w:rPr>
          <w:rFonts w:ascii="Arial" w:eastAsia="Arial" w:hAnsi="Arial" w:cs="Arial"/>
          <w:b/>
          <w:sz w:val="22"/>
          <w:szCs w:val="22"/>
        </w:rPr>
        <w:t xml:space="preserve">4.2. Pretensión. </w:t>
      </w:r>
    </w:p>
    <w:p w14:paraId="34FBC859" w14:textId="77777777" w:rsidR="0086106D" w:rsidRDefault="0086106D">
      <w:pPr>
        <w:tabs>
          <w:tab w:val="left" w:pos="1635"/>
        </w:tabs>
        <w:spacing w:line="360" w:lineRule="auto"/>
        <w:jc w:val="both"/>
        <w:rPr>
          <w:rFonts w:ascii="Arial" w:eastAsia="Arial" w:hAnsi="Arial" w:cs="Arial"/>
          <w:bCs/>
          <w:sz w:val="22"/>
          <w:szCs w:val="22"/>
        </w:rPr>
      </w:pPr>
    </w:p>
    <w:p w14:paraId="677CB763" w14:textId="3634EB51" w:rsidR="00083F5A" w:rsidRPr="002139AB" w:rsidRDefault="00083F5A">
      <w:pPr>
        <w:tabs>
          <w:tab w:val="left" w:pos="1635"/>
        </w:tabs>
        <w:spacing w:line="360" w:lineRule="auto"/>
        <w:jc w:val="both"/>
        <w:rPr>
          <w:rFonts w:ascii="Arial" w:eastAsia="Arial" w:hAnsi="Arial" w:cs="Arial"/>
          <w:bCs/>
          <w:sz w:val="22"/>
          <w:szCs w:val="22"/>
        </w:rPr>
      </w:pPr>
      <w:r w:rsidRPr="002139AB">
        <w:rPr>
          <w:rFonts w:ascii="Arial" w:eastAsia="Arial" w:hAnsi="Arial" w:cs="Arial"/>
          <w:bCs/>
          <w:sz w:val="22"/>
          <w:szCs w:val="22"/>
        </w:rPr>
        <w:t xml:space="preserve">En consideración a lo anteriormente establecido, este Tribunal Electoral estima que la pretensión de la parte actora, consiste en que </w:t>
      </w:r>
      <w:r w:rsidR="0086106D">
        <w:rPr>
          <w:rFonts w:ascii="Arial" w:eastAsia="Arial" w:hAnsi="Arial" w:cs="Arial"/>
          <w:bCs/>
          <w:sz w:val="22"/>
          <w:szCs w:val="22"/>
        </w:rPr>
        <w:t>se</w:t>
      </w:r>
      <w:r w:rsidR="002A3DC7">
        <w:rPr>
          <w:rFonts w:ascii="Arial" w:eastAsia="Arial" w:hAnsi="Arial" w:cs="Arial"/>
          <w:bCs/>
          <w:sz w:val="22"/>
          <w:szCs w:val="22"/>
        </w:rPr>
        <w:t xml:space="preserve"> </w:t>
      </w:r>
      <w:r w:rsidR="00A46BB5">
        <w:rPr>
          <w:rFonts w:ascii="Arial" w:eastAsia="Arial" w:hAnsi="Arial" w:cs="Arial"/>
          <w:bCs/>
          <w:sz w:val="22"/>
          <w:szCs w:val="22"/>
        </w:rPr>
        <w:t xml:space="preserve">revoquen </w:t>
      </w:r>
      <w:r w:rsidR="006F12B2">
        <w:rPr>
          <w:rFonts w:ascii="Arial" w:eastAsia="Arial" w:hAnsi="Arial" w:cs="Arial"/>
          <w:bCs/>
          <w:sz w:val="22"/>
          <w:szCs w:val="22"/>
        </w:rPr>
        <w:t>los actos</w:t>
      </w:r>
      <w:r w:rsidR="00A46BB5">
        <w:rPr>
          <w:rFonts w:ascii="Arial" w:eastAsia="Arial" w:hAnsi="Arial" w:cs="Arial"/>
          <w:bCs/>
          <w:sz w:val="22"/>
          <w:szCs w:val="22"/>
        </w:rPr>
        <w:t xml:space="preserve"> impugnad</w:t>
      </w:r>
      <w:r w:rsidR="006F12B2">
        <w:rPr>
          <w:rFonts w:ascii="Arial" w:eastAsia="Arial" w:hAnsi="Arial" w:cs="Arial"/>
          <w:bCs/>
          <w:sz w:val="22"/>
          <w:szCs w:val="22"/>
        </w:rPr>
        <w:t>o</w:t>
      </w:r>
      <w:r w:rsidR="00A46BB5">
        <w:rPr>
          <w:rFonts w:ascii="Arial" w:eastAsia="Arial" w:hAnsi="Arial" w:cs="Arial"/>
          <w:bCs/>
          <w:sz w:val="22"/>
          <w:szCs w:val="22"/>
        </w:rPr>
        <w:t>s</w:t>
      </w:r>
      <w:r w:rsidR="002A3DC7">
        <w:rPr>
          <w:rFonts w:ascii="Arial" w:eastAsia="Arial" w:hAnsi="Arial" w:cs="Arial"/>
          <w:bCs/>
          <w:sz w:val="22"/>
          <w:szCs w:val="22"/>
        </w:rPr>
        <w:t xml:space="preserve">; además de </w:t>
      </w:r>
      <w:r w:rsidR="0086106D">
        <w:rPr>
          <w:rFonts w:ascii="Arial" w:eastAsia="Arial" w:hAnsi="Arial" w:cs="Arial"/>
          <w:bCs/>
          <w:sz w:val="22"/>
          <w:szCs w:val="22"/>
        </w:rPr>
        <w:t xml:space="preserve">que </w:t>
      </w:r>
      <w:r w:rsidR="00A46BB5">
        <w:rPr>
          <w:rFonts w:ascii="Arial" w:eastAsia="Arial" w:hAnsi="Arial" w:cs="Arial"/>
          <w:bCs/>
          <w:sz w:val="22"/>
          <w:szCs w:val="22"/>
        </w:rPr>
        <w:t xml:space="preserve">el PAN efectúe la reposición del procedimiento a fin de habilitar en un término razonable que todos los militantes </w:t>
      </w:r>
      <w:r w:rsidR="002A3DC7">
        <w:rPr>
          <w:rFonts w:ascii="Arial" w:eastAsia="Arial" w:hAnsi="Arial" w:cs="Arial"/>
          <w:bCs/>
          <w:sz w:val="22"/>
          <w:szCs w:val="22"/>
        </w:rPr>
        <w:t>t</w:t>
      </w:r>
      <w:r w:rsidR="00A46BB5">
        <w:rPr>
          <w:rFonts w:ascii="Arial" w:eastAsia="Arial" w:hAnsi="Arial" w:cs="Arial"/>
          <w:bCs/>
          <w:sz w:val="22"/>
          <w:szCs w:val="22"/>
        </w:rPr>
        <w:t>engan la posibilidad efectiva de participar dentro del proceso de postulación de candidatos.</w:t>
      </w:r>
    </w:p>
    <w:p w14:paraId="7B3A585D" w14:textId="77777777" w:rsidR="0028404C" w:rsidRPr="002139AB" w:rsidRDefault="0028404C">
      <w:pPr>
        <w:tabs>
          <w:tab w:val="left" w:pos="1635"/>
        </w:tabs>
        <w:spacing w:line="360" w:lineRule="auto"/>
        <w:jc w:val="both"/>
        <w:rPr>
          <w:rFonts w:ascii="Arial" w:eastAsia="Arial" w:hAnsi="Arial" w:cs="Arial"/>
          <w:b/>
          <w:sz w:val="22"/>
          <w:szCs w:val="22"/>
        </w:rPr>
      </w:pPr>
    </w:p>
    <w:p w14:paraId="4DD937BE" w14:textId="511F03B9" w:rsidR="0028404C" w:rsidRPr="002139AB" w:rsidRDefault="00EA44A4">
      <w:pPr>
        <w:tabs>
          <w:tab w:val="left" w:pos="1635"/>
        </w:tabs>
        <w:spacing w:line="360" w:lineRule="auto"/>
        <w:jc w:val="both"/>
        <w:rPr>
          <w:rFonts w:ascii="Arial" w:eastAsia="Arial" w:hAnsi="Arial" w:cs="Arial"/>
          <w:b/>
          <w:sz w:val="22"/>
          <w:szCs w:val="22"/>
        </w:rPr>
      </w:pPr>
      <w:r w:rsidRPr="002139AB">
        <w:rPr>
          <w:rFonts w:ascii="Arial" w:eastAsia="Arial" w:hAnsi="Arial" w:cs="Arial"/>
          <w:b/>
          <w:sz w:val="22"/>
          <w:szCs w:val="22"/>
        </w:rPr>
        <w:t>4.</w:t>
      </w:r>
      <w:r w:rsidR="001D5860">
        <w:rPr>
          <w:rFonts w:ascii="Arial" w:eastAsia="Arial" w:hAnsi="Arial" w:cs="Arial"/>
          <w:b/>
          <w:sz w:val="22"/>
          <w:szCs w:val="22"/>
        </w:rPr>
        <w:t>3</w:t>
      </w:r>
      <w:r w:rsidRPr="002139AB">
        <w:rPr>
          <w:rFonts w:ascii="Arial" w:eastAsia="Arial" w:hAnsi="Arial" w:cs="Arial"/>
          <w:b/>
          <w:sz w:val="22"/>
          <w:szCs w:val="22"/>
        </w:rPr>
        <w:t>. Cuestión jurídica a resolver.</w:t>
      </w:r>
    </w:p>
    <w:p w14:paraId="213C4519" w14:textId="77777777" w:rsidR="0028404C" w:rsidRPr="002139AB" w:rsidRDefault="0028404C">
      <w:pPr>
        <w:tabs>
          <w:tab w:val="left" w:pos="1635"/>
        </w:tabs>
        <w:spacing w:line="360" w:lineRule="auto"/>
        <w:jc w:val="both"/>
        <w:rPr>
          <w:rFonts w:ascii="Arial" w:eastAsia="Arial" w:hAnsi="Arial" w:cs="Arial"/>
          <w:b/>
          <w:sz w:val="22"/>
          <w:szCs w:val="22"/>
        </w:rPr>
      </w:pPr>
    </w:p>
    <w:p w14:paraId="20339817" w14:textId="02DF4090" w:rsidR="0028404C" w:rsidRDefault="00EA44A4">
      <w:pPr>
        <w:tabs>
          <w:tab w:val="left" w:pos="1635"/>
        </w:tabs>
        <w:spacing w:line="360" w:lineRule="auto"/>
        <w:jc w:val="both"/>
        <w:rPr>
          <w:rFonts w:ascii="Arial" w:eastAsia="Arial" w:hAnsi="Arial" w:cs="Arial"/>
          <w:sz w:val="22"/>
          <w:szCs w:val="22"/>
        </w:rPr>
      </w:pPr>
      <w:r w:rsidRPr="002139AB">
        <w:rPr>
          <w:rFonts w:ascii="Arial" w:eastAsia="Arial" w:hAnsi="Arial" w:cs="Arial"/>
          <w:sz w:val="22"/>
          <w:szCs w:val="22"/>
        </w:rPr>
        <w:t>En consecuencia, a lo anteriormente establecido, esta autoridad jurisdiccional determina que la cuestión jurídica a resolver consiste en:</w:t>
      </w:r>
    </w:p>
    <w:p w14:paraId="49BC7E59" w14:textId="5F47F25A" w:rsidR="005D75CD" w:rsidRDefault="005D75CD">
      <w:pPr>
        <w:tabs>
          <w:tab w:val="left" w:pos="1635"/>
        </w:tabs>
        <w:spacing w:line="360" w:lineRule="auto"/>
        <w:jc w:val="both"/>
        <w:rPr>
          <w:rFonts w:ascii="Arial" w:eastAsia="Arial" w:hAnsi="Arial" w:cs="Arial"/>
          <w:sz w:val="22"/>
          <w:szCs w:val="22"/>
        </w:rPr>
      </w:pPr>
    </w:p>
    <w:p w14:paraId="66294541" w14:textId="092C90F3" w:rsidR="005D75CD" w:rsidRDefault="005D75CD" w:rsidP="005D75CD">
      <w:pPr>
        <w:pStyle w:val="Prrafodelista"/>
        <w:numPr>
          <w:ilvl w:val="0"/>
          <w:numId w:val="31"/>
        </w:numPr>
        <w:tabs>
          <w:tab w:val="left" w:pos="1635"/>
        </w:tabs>
        <w:spacing w:line="360" w:lineRule="auto"/>
        <w:jc w:val="both"/>
        <w:rPr>
          <w:rFonts w:ascii="Arial" w:eastAsia="Arial" w:hAnsi="Arial" w:cs="Arial"/>
          <w:sz w:val="22"/>
          <w:szCs w:val="22"/>
        </w:rPr>
      </w:pPr>
      <w:r>
        <w:rPr>
          <w:rFonts w:ascii="Arial" w:eastAsia="Arial" w:hAnsi="Arial" w:cs="Arial"/>
          <w:sz w:val="22"/>
          <w:szCs w:val="22"/>
        </w:rPr>
        <w:t>Si la autoridad partidista debió de publicar las renuncias a las candidaturas del distrito XIV;</w:t>
      </w:r>
    </w:p>
    <w:p w14:paraId="0DC15FD2" w14:textId="7854ED19" w:rsidR="005D75CD" w:rsidRDefault="00D57188" w:rsidP="005D75CD">
      <w:pPr>
        <w:pStyle w:val="Prrafodelista"/>
        <w:numPr>
          <w:ilvl w:val="0"/>
          <w:numId w:val="31"/>
        </w:numPr>
        <w:tabs>
          <w:tab w:val="left" w:pos="1635"/>
        </w:tabs>
        <w:spacing w:line="360" w:lineRule="auto"/>
        <w:jc w:val="both"/>
        <w:rPr>
          <w:rFonts w:ascii="Arial" w:eastAsia="Arial" w:hAnsi="Arial" w:cs="Arial"/>
          <w:sz w:val="22"/>
          <w:szCs w:val="22"/>
        </w:rPr>
      </w:pPr>
      <w:r>
        <w:rPr>
          <w:rFonts w:ascii="Arial" w:eastAsia="Arial" w:hAnsi="Arial" w:cs="Arial"/>
          <w:sz w:val="22"/>
          <w:szCs w:val="22"/>
        </w:rPr>
        <w:t>Si los efectos de la resolución SM-JRC-065/2021 eran vinculantes al distrito XIV, y en su caso, si el partido podía hacer modificaciones en el mismo</w:t>
      </w:r>
      <w:r w:rsidR="00AC6489">
        <w:rPr>
          <w:rFonts w:ascii="Arial" w:eastAsia="Arial" w:hAnsi="Arial" w:cs="Arial"/>
          <w:sz w:val="22"/>
          <w:szCs w:val="22"/>
        </w:rPr>
        <w:t>;</w:t>
      </w:r>
    </w:p>
    <w:p w14:paraId="6D18C028" w14:textId="648BAD81" w:rsidR="00AC6489" w:rsidRDefault="00AC6489" w:rsidP="005D75CD">
      <w:pPr>
        <w:pStyle w:val="Prrafodelista"/>
        <w:numPr>
          <w:ilvl w:val="0"/>
          <w:numId w:val="31"/>
        </w:numPr>
        <w:tabs>
          <w:tab w:val="left" w:pos="1635"/>
        </w:tabs>
        <w:spacing w:line="360" w:lineRule="auto"/>
        <w:jc w:val="both"/>
        <w:rPr>
          <w:rFonts w:ascii="Arial" w:eastAsia="Arial" w:hAnsi="Arial" w:cs="Arial"/>
          <w:sz w:val="22"/>
          <w:szCs w:val="22"/>
        </w:rPr>
      </w:pPr>
      <w:r>
        <w:rPr>
          <w:rFonts w:ascii="Arial" w:eastAsia="Arial" w:hAnsi="Arial" w:cs="Arial"/>
          <w:sz w:val="22"/>
          <w:szCs w:val="22"/>
        </w:rPr>
        <w:t>Determinar si la duración de la convocatoria era ju</w:t>
      </w:r>
      <w:r w:rsidR="00852A3E">
        <w:rPr>
          <w:rFonts w:ascii="Arial" w:eastAsia="Arial" w:hAnsi="Arial" w:cs="Arial"/>
          <w:sz w:val="22"/>
          <w:szCs w:val="22"/>
        </w:rPr>
        <w:t>stificable; y</w:t>
      </w:r>
    </w:p>
    <w:p w14:paraId="5D8C22C0" w14:textId="4366BEB1" w:rsidR="00852A3E" w:rsidRPr="005D75CD" w:rsidRDefault="00852A3E" w:rsidP="005D75CD">
      <w:pPr>
        <w:pStyle w:val="Prrafodelista"/>
        <w:numPr>
          <w:ilvl w:val="0"/>
          <w:numId w:val="31"/>
        </w:numPr>
        <w:tabs>
          <w:tab w:val="left" w:pos="1635"/>
        </w:tabs>
        <w:spacing w:line="360" w:lineRule="auto"/>
        <w:jc w:val="both"/>
        <w:rPr>
          <w:rFonts w:ascii="Arial" w:eastAsia="Arial" w:hAnsi="Arial" w:cs="Arial"/>
          <w:sz w:val="22"/>
          <w:szCs w:val="22"/>
        </w:rPr>
      </w:pPr>
      <w:r>
        <w:rPr>
          <w:rFonts w:ascii="Arial" w:eastAsia="Arial" w:hAnsi="Arial" w:cs="Arial"/>
          <w:sz w:val="22"/>
          <w:szCs w:val="22"/>
        </w:rPr>
        <w:t>Concluir si el proceso interno fue apegado a derecho.</w:t>
      </w:r>
    </w:p>
    <w:p w14:paraId="2C3D06DC" w14:textId="59A8C629" w:rsidR="00F37563" w:rsidRDefault="00F37563" w:rsidP="00F37563">
      <w:pPr>
        <w:pBdr>
          <w:top w:val="nil"/>
          <w:left w:val="nil"/>
          <w:bottom w:val="nil"/>
          <w:right w:val="nil"/>
          <w:between w:val="nil"/>
        </w:pBdr>
        <w:spacing w:line="360" w:lineRule="auto"/>
        <w:jc w:val="both"/>
        <w:rPr>
          <w:rFonts w:ascii="Arial" w:eastAsia="Arial" w:hAnsi="Arial" w:cs="Arial"/>
          <w:sz w:val="22"/>
          <w:szCs w:val="22"/>
        </w:rPr>
      </w:pPr>
    </w:p>
    <w:p w14:paraId="4914A7D3" w14:textId="5B8E26FA" w:rsidR="00B200C6" w:rsidRPr="002139AB" w:rsidRDefault="00B200C6" w:rsidP="00B200C6">
      <w:pPr>
        <w:pStyle w:val="Ttulo1"/>
        <w:keepLines w:val="0"/>
        <w:numPr>
          <w:ilvl w:val="0"/>
          <w:numId w:val="12"/>
        </w:numPr>
        <w:spacing w:before="0" w:line="360" w:lineRule="auto"/>
        <w:ind w:left="426"/>
        <w:jc w:val="both"/>
        <w:rPr>
          <w:rFonts w:ascii="Arial" w:eastAsia="Times New Roman" w:hAnsi="Arial" w:cs="Arial"/>
          <w:b/>
          <w:bCs/>
          <w:color w:val="auto"/>
          <w:sz w:val="22"/>
          <w:szCs w:val="22"/>
        </w:rPr>
      </w:pPr>
      <w:bookmarkStart w:id="8" w:name="_Toc69406590"/>
      <w:r w:rsidRPr="002139AB">
        <w:rPr>
          <w:rFonts w:ascii="Arial" w:eastAsia="Times New Roman" w:hAnsi="Arial" w:cs="Arial"/>
          <w:b/>
          <w:bCs/>
          <w:color w:val="auto"/>
          <w:sz w:val="22"/>
          <w:szCs w:val="22"/>
        </w:rPr>
        <w:t>ESTUDIO DE FONDO</w:t>
      </w:r>
      <w:bookmarkEnd w:id="8"/>
    </w:p>
    <w:p w14:paraId="777A24A7" w14:textId="77777777" w:rsidR="00083F5A" w:rsidRPr="002139AB" w:rsidRDefault="00083F5A" w:rsidP="00083F5A">
      <w:pPr>
        <w:rPr>
          <w:rFonts w:ascii="Arial" w:hAnsi="Arial" w:cs="Arial"/>
          <w:sz w:val="22"/>
          <w:szCs w:val="22"/>
        </w:rPr>
      </w:pPr>
    </w:p>
    <w:p w14:paraId="70E7043D" w14:textId="57AE54FB" w:rsidR="007F1426" w:rsidRDefault="00D7107E" w:rsidP="007F1426">
      <w:pPr>
        <w:pStyle w:val="Ttulo1"/>
        <w:keepLines w:val="0"/>
        <w:spacing w:before="0" w:line="360" w:lineRule="auto"/>
        <w:jc w:val="both"/>
        <w:rPr>
          <w:rFonts w:ascii="Arial" w:eastAsia="Arial" w:hAnsi="Arial" w:cs="Arial"/>
          <w:b/>
          <w:color w:val="auto"/>
          <w:sz w:val="22"/>
          <w:szCs w:val="22"/>
        </w:rPr>
      </w:pPr>
      <w:r w:rsidRPr="002139AB">
        <w:rPr>
          <w:rFonts w:ascii="Arial" w:eastAsia="Arial" w:hAnsi="Arial" w:cs="Arial"/>
          <w:b/>
          <w:color w:val="auto"/>
          <w:sz w:val="22"/>
          <w:szCs w:val="22"/>
        </w:rPr>
        <w:t xml:space="preserve">5.1 </w:t>
      </w:r>
      <w:bookmarkStart w:id="9" w:name="_Toc69406591"/>
      <w:r w:rsidR="00EA44A4" w:rsidRPr="002139AB">
        <w:rPr>
          <w:rFonts w:ascii="Arial" w:eastAsia="Arial" w:hAnsi="Arial" w:cs="Arial"/>
          <w:b/>
          <w:color w:val="auto"/>
          <w:sz w:val="22"/>
          <w:szCs w:val="22"/>
        </w:rPr>
        <w:t>Marco Jurídico.</w:t>
      </w:r>
      <w:bookmarkEnd w:id="9"/>
      <w:r w:rsidRPr="002139AB">
        <w:rPr>
          <w:rFonts w:ascii="Arial" w:eastAsia="Arial" w:hAnsi="Arial" w:cs="Arial"/>
          <w:b/>
          <w:color w:val="auto"/>
          <w:sz w:val="22"/>
          <w:szCs w:val="22"/>
        </w:rPr>
        <w:t xml:space="preserve"> </w:t>
      </w:r>
    </w:p>
    <w:p w14:paraId="2D8B1D4B" w14:textId="77777777" w:rsidR="00A2434E" w:rsidRPr="00A2434E" w:rsidRDefault="00A2434E" w:rsidP="00A2434E">
      <w:pPr>
        <w:spacing w:line="360" w:lineRule="auto"/>
        <w:jc w:val="both"/>
        <w:rPr>
          <w:rFonts w:ascii="Arial" w:eastAsia="Arial" w:hAnsi="Arial" w:cs="Arial"/>
          <w:b/>
          <w:bCs/>
          <w:sz w:val="22"/>
          <w:szCs w:val="22"/>
        </w:rPr>
      </w:pPr>
      <w:r w:rsidRPr="00A2434E">
        <w:rPr>
          <w:rFonts w:ascii="Arial" w:eastAsia="Arial" w:hAnsi="Arial" w:cs="Arial"/>
          <w:b/>
          <w:bCs/>
          <w:sz w:val="22"/>
          <w:szCs w:val="22"/>
        </w:rPr>
        <w:t xml:space="preserve">Autodeterminación y autoorganización partidista. </w:t>
      </w:r>
    </w:p>
    <w:p w14:paraId="4CEF870F" w14:textId="77777777" w:rsidR="00A2434E" w:rsidRPr="00A2434E" w:rsidRDefault="00A2434E" w:rsidP="00A2434E">
      <w:pPr>
        <w:spacing w:line="360" w:lineRule="auto"/>
        <w:jc w:val="both"/>
        <w:rPr>
          <w:rFonts w:ascii="Arial" w:eastAsia="Arial" w:hAnsi="Arial" w:cs="Arial"/>
          <w:sz w:val="22"/>
          <w:szCs w:val="22"/>
        </w:rPr>
      </w:pPr>
    </w:p>
    <w:p w14:paraId="1C1D28DD" w14:textId="0408423B" w:rsid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 xml:space="preserve">La Ley General de Partidos Políticos, en su artículo 34, numeral 2, fracción d), establece que uno de los asuntos internos de los partidos políticos es precisamente la realización de los procedimientos y requisitos para la selección de sus precandidatos y candidatos a cargos de elección popular, de lo que se obtiene que las reglas particulares que se emitan en los procesos internos de selección de candidatos, deben ser acordes al estatuto y deben cumplirse. </w:t>
      </w:r>
    </w:p>
    <w:p w14:paraId="4BE17626" w14:textId="77777777" w:rsidR="003E5AE3" w:rsidRPr="00A2434E" w:rsidRDefault="003E5AE3" w:rsidP="00A2434E">
      <w:pPr>
        <w:spacing w:line="360" w:lineRule="auto"/>
        <w:jc w:val="both"/>
        <w:rPr>
          <w:rFonts w:ascii="Arial" w:eastAsia="Arial" w:hAnsi="Arial" w:cs="Arial"/>
          <w:sz w:val="22"/>
          <w:szCs w:val="22"/>
        </w:rPr>
      </w:pPr>
    </w:p>
    <w:p w14:paraId="387DE84E"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 xml:space="preserve">Con base en ello, la Sala Superior ha determinado que los partidos políticos tienen en todo momento el derecho constitucional de autodeterminarse y auto regularse, siempre y cuando respeten los </w:t>
      </w:r>
      <w:r w:rsidRPr="00A2434E">
        <w:rPr>
          <w:rFonts w:ascii="Arial" w:eastAsia="Arial" w:hAnsi="Arial" w:cs="Arial"/>
          <w:sz w:val="22"/>
          <w:szCs w:val="22"/>
        </w:rPr>
        <w:lastRenderedPageBreak/>
        <w:t xml:space="preserve">límites y los términos establecidos en la Constitución Federal y en la normativa secundaria aplicable, según se desprende de sus artículos 41, párrafo segundo, base I, tercer párrafo, y 116, segundo párrafo, fracción IV, inciso f). </w:t>
      </w:r>
    </w:p>
    <w:p w14:paraId="5145DD6A" w14:textId="77777777" w:rsidR="00A2434E" w:rsidRPr="00A2434E" w:rsidRDefault="00A2434E" w:rsidP="00A2434E">
      <w:pPr>
        <w:spacing w:line="360" w:lineRule="auto"/>
        <w:jc w:val="both"/>
        <w:rPr>
          <w:rFonts w:ascii="Arial" w:eastAsia="Arial" w:hAnsi="Arial" w:cs="Arial"/>
          <w:sz w:val="22"/>
          <w:szCs w:val="22"/>
        </w:rPr>
      </w:pPr>
    </w:p>
    <w:p w14:paraId="004C06A0"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 xml:space="preserve">Entonces, los partidos políticos están facultados para precisar su normativa interna, así como los derechos y obligaciones de su militancia, ejercer sus derechos y cumplir con sus obligaciones, mediante lo observancia de aquellos elementos mínimos que deben concurrir en la democracia. </w:t>
      </w:r>
    </w:p>
    <w:p w14:paraId="7FA6D6CD" w14:textId="77777777" w:rsidR="00A2434E" w:rsidRPr="00A2434E" w:rsidRDefault="00A2434E" w:rsidP="00A2434E">
      <w:pPr>
        <w:spacing w:line="360" w:lineRule="auto"/>
        <w:jc w:val="both"/>
        <w:rPr>
          <w:rFonts w:ascii="Arial" w:eastAsia="Arial" w:hAnsi="Arial" w:cs="Arial"/>
          <w:sz w:val="22"/>
          <w:szCs w:val="22"/>
        </w:rPr>
      </w:pPr>
    </w:p>
    <w:p w14:paraId="3E8B7CE5"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La facultad para la definición de los métodos de selección de candidaturas, está inmersa en el principio de autodeterminación y autoorganización de los partidos políticos, en cuanto a definir, en sus documentos básicos, las directrices para la consecución de los fines encomendados, siendo uno de ellos precisar sus estrategias políticas, las cuales están directamente relacionadas, con la atribución de evaluar los perfiles de los aspirantes a un cargo de elección popular, a fin de definir a las personas que cumplirán de mejor manera con su planes y programas.</w:t>
      </w:r>
    </w:p>
    <w:p w14:paraId="0843402D" w14:textId="77777777" w:rsidR="00A2434E" w:rsidRPr="00A2434E" w:rsidRDefault="00A2434E" w:rsidP="00A2434E">
      <w:pPr>
        <w:spacing w:line="360" w:lineRule="auto"/>
        <w:jc w:val="both"/>
        <w:rPr>
          <w:rFonts w:ascii="Arial" w:eastAsia="Arial" w:hAnsi="Arial" w:cs="Arial"/>
          <w:sz w:val="22"/>
          <w:szCs w:val="22"/>
        </w:rPr>
      </w:pPr>
    </w:p>
    <w:p w14:paraId="1701AFCE"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Además, es importante destacar que la normativa que se crea por vía del Estatuto</w:t>
      </w:r>
      <w:r w:rsidRPr="00A2434E">
        <w:rPr>
          <w:rFonts w:ascii="Arial" w:eastAsia="Arial" w:hAnsi="Arial" w:cs="Arial"/>
          <w:sz w:val="22"/>
          <w:szCs w:val="22"/>
          <w:vertAlign w:val="superscript"/>
        </w:rPr>
        <w:footnoteReference w:id="10"/>
      </w:r>
      <w:r w:rsidRPr="00A2434E">
        <w:rPr>
          <w:rFonts w:ascii="Arial" w:eastAsia="Arial" w:hAnsi="Arial" w:cs="Arial"/>
          <w:sz w:val="22"/>
          <w:szCs w:val="22"/>
        </w:rPr>
        <w:t>, es acorde al principio de autodeterminación y autoorganización de los partidos políticos, en cuanto pueden definir las estrategias para la consecución de sus fines, lo que está directamente relacionado con la atribución de evaluar los perfiles de los aspirantes a un cargo de elección popular, a fin de definir a las personas que cumplirán de mejor manera con su planes y programas, similar criterio fue sostenido en el expediente SUP-JDC-0065-2017.</w:t>
      </w:r>
    </w:p>
    <w:p w14:paraId="36C220D1" w14:textId="77777777" w:rsidR="00A2434E" w:rsidRPr="00A2434E" w:rsidRDefault="00A2434E" w:rsidP="00A2434E">
      <w:pPr>
        <w:spacing w:line="360" w:lineRule="auto"/>
        <w:jc w:val="both"/>
        <w:rPr>
          <w:rFonts w:ascii="Arial" w:eastAsia="Arial" w:hAnsi="Arial" w:cs="Arial"/>
          <w:sz w:val="22"/>
          <w:szCs w:val="22"/>
        </w:rPr>
      </w:pPr>
    </w:p>
    <w:p w14:paraId="5071C77E"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Así pues, ya que en la lógica de la libertad de auto organización de los partidos, implica que se elijan candidatos que, a la luz de sus objetivos, representarán o buscarán de mejor manera la consecución del poder público vía mandato popular, y que esta elección se toma en autonomía, es oportuno mencionar que la discrecionalidad que conlleva no es sinónimo de arbitrariedad, porque debe ejercitarse como una potestad legal que hace factible arribar a diferentes soluciones, pero siempre con respeto irrestricto de los elementos normados que delimitan la decisión.</w:t>
      </w:r>
    </w:p>
    <w:p w14:paraId="37FF173F" w14:textId="77777777" w:rsidR="00A2434E" w:rsidRPr="00A2434E" w:rsidRDefault="00A2434E" w:rsidP="00A2434E">
      <w:pPr>
        <w:spacing w:line="360" w:lineRule="auto"/>
        <w:jc w:val="both"/>
        <w:rPr>
          <w:rFonts w:ascii="Arial" w:eastAsia="Arial" w:hAnsi="Arial" w:cs="Arial"/>
          <w:sz w:val="22"/>
          <w:szCs w:val="22"/>
        </w:rPr>
      </w:pPr>
    </w:p>
    <w:p w14:paraId="502BA9FF"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Por lo tanto, es evidente que la discrecionalidad no constituye una potestad extralegal, más bien, el ejercicio de una atribución estatuida por el ordenamiento jurídico, que otorga a la autoridad u órgano partidista, un determinado margen de apreciación frente a eventualidades, que luego de realizar una valoración objetiva de los hechos, ejerce sus potestades en casos concretos.</w:t>
      </w:r>
    </w:p>
    <w:p w14:paraId="36257ADF" w14:textId="77777777" w:rsidR="00A2434E" w:rsidRPr="00A2434E" w:rsidRDefault="00A2434E" w:rsidP="00A2434E">
      <w:pPr>
        <w:spacing w:line="360" w:lineRule="auto"/>
        <w:jc w:val="both"/>
        <w:rPr>
          <w:rFonts w:ascii="Arial" w:eastAsia="Arial" w:hAnsi="Arial" w:cs="Arial"/>
          <w:sz w:val="22"/>
          <w:szCs w:val="22"/>
        </w:rPr>
      </w:pPr>
    </w:p>
    <w:p w14:paraId="56E791AE"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t>Es así que, para garantizar el principio de legalidad, se impone un deber a la autoridad, de que sus procedimientos sean integrados por actos que consten por escrito o en medios electrónicos, los que deben ser comunicados a los interesados, de manera fundada y motivada, de tal forma que se garantice al interesado -la militancia y la ciudadanía-, la oportunidad de participar en los procesos internos de selección de candidaturas, en congruencia además con los derechos políticos del voto (pasivo y activo).</w:t>
      </w:r>
    </w:p>
    <w:p w14:paraId="0CCCA3CB" w14:textId="77777777" w:rsidR="00A2434E" w:rsidRPr="00A2434E" w:rsidRDefault="00A2434E" w:rsidP="00A2434E">
      <w:pPr>
        <w:spacing w:line="360" w:lineRule="auto"/>
        <w:jc w:val="both"/>
        <w:rPr>
          <w:rFonts w:ascii="Arial" w:eastAsia="Arial" w:hAnsi="Arial" w:cs="Arial"/>
          <w:sz w:val="22"/>
          <w:szCs w:val="22"/>
        </w:rPr>
      </w:pPr>
    </w:p>
    <w:p w14:paraId="21B46596" w14:textId="77777777" w:rsidR="00A2434E" w:rsidRPr="00A2434E" w:rsidRDefault="00A2434E" w:rsidP="00A2434E">
      <w:pPr>
        <w:spacing w:line="360" w:lineRule="auto"/>
        <w:jc w:val="both"/>
        <w:rPr>
          <w:rFonts w:ascii="Arial" w:eastAsia="Arial" w:hAnsi="Arial" w:cs="Arial"/>
          <w:sz w:val="22"/>
          <w:szCs w:val="22"/>
        </w:rPr>
      </w:pPr>
      <w:r w:rsidRPr="00A2434E">
        <w:rPr>
          <w:rFonts w:ascii="Arial" w:eastAsia="Arial" w:hAnsi="Arial" w:cs="Arial"/>
          <w:sz w:val="22"/>
          <w:szCs w:val="22"/>
        </w:rPr>
        <w:lastRenderedPageBreak/>
        <w:t>El cumplimiento de esta obligación, trae como consecuencia natural que los participantes en el proceso interno de selección de candidaturas, cuenten con la certeza de las consideraciones que llevaron a los órganos partidistas a resolver en un sentido, para que puedan estar en condiciones de ejercitar su derecho de defensa contra aquellos actos que consideren vulneren sus derechos.</w:t>
      </w:r>
    </w:p>
    <w:p w14:paraId="3EFC7A38" w14:textId="76E9840B" w:rsidR="00852A3E" w:rsidRDefault="00852A3E" w:rsidP="007F1426">
      <w:pPr>
        <w:rPr>
          <w:rFonts w:eastAsia="Arial"/>
        </w:rPr>
      </w:pPr>
    </w:p>
    <w:p w14:paraId="777B81B2" w14:textId="582B727D" w:rsidR="00852A3E" w:rsidRDefault="00852A3E" w:rsidP="007F1426">
      <w:pPr>
        <w:rPr>
          <w:rFonts w:eastAsia="Arial"/>
        </w:rPr>
      </w:pPr>
    </w:p>
    <w:p w14:paraId="21C7857A" w14:textId="22D77357" w:rsidR="007F1426" w:rsidRDefault="007F1426" w:rsidP="007F1426">
      <w:pPr>
        <w:tabs>
          <w:tab w:val="left" w:pos="1635"/>
        </w:tabs>
        <w:spacing w:line="360" w:lineRule="auto"/>
        <w:jc w:val="both"/>
        <w:rPr>
          <w:rFonts w:ascii="Arial" w:eastAsia="Arial" w:hAnsi="Arial" w:cs="Arial"/>
          <w:b/>
          <w:sz w:val="22"/>
          <w:szCs w:val="22"/>
        </w:rPr>
      </w:pPr>
      <w:r>
        <w:rPr>
          <w:rFonts w:ascii="Arial" w:eastAsia="Arial" w:hAnsi="Arial" w:cs="Arial"/>
          <w:b/>
          <w:sz w:val="22"/>
          <w:szCs w:val="22"/>
        </w:rPr>
        <w:t>5</w:t>
      </w:r>
      <w:r w:rsidRPr="002139AB">
        <w:rPr>
          <w:rFonts w:ascii="Arial" w:eastAsia="Arial" w:hAnsi="Arial" w:cs="Arial"/>
          <w:b/>
          <w:sz w:val="22"/>
          <w:szCs w:val="22"/>
        </w:rPr>
        <w:t>.</w:t>
      </w:r>
      <w:r>
        <w:rPr>
          <w:rFonts w:ascii="Arial" w:eastAsia="Arial" w:hAnsi="Arial" w:cs="Arial"/>
          <w:b/>
          <w:sz w:val="22"/>
          <w:szCs w:val="22"/>
        </w:rPr>
        <w:t>2</w:t>
      </w:r>
      <w:r w:rsidRPr="002139AB">
        <w:rPr>
          <w:rFonts w:ascii="Arial" w:eastAsia="Arial" w:hAnsi="Arial" w:cs="Arial"/>
          <w:b/>
          <w:sz w:val="22"/>
          <w:szCs w:val="22"/>
        </w:rPr>
        <w:t xml:space="preserve">. </w:t>
      </w:r>
      <w:r w:rsidR="00E03F05">
        <w:rPr>
          <w:rFonts w:ascii="Arial" w:eastAsia="Arial" w:hAnsi="Arial" w:cs="Arial"/>
          <w:b/>
          <w:sz w:val="22"/>
          <w:szCs w:val="22"/>
        </w:rPr>
        <w:t>La falta de publicación de las renuncias, no transgrede el principio de máxima publicidad</w:t>
      </w:r>
      <w:r w:rsidRPr="002139AB">
        <w:rPr>
          <w:rFonts w:ascii="Arial" w:eastAsia="Arial" w:hAnsi="Arial" w:cs="Arial"/>
          <w:b/>
          <w:sz w:val="22"/>
          <w:szCs w:val="22"/>
        </w:rPr>
        <w:t>.</w:t>
      </w:r>
    </w:p>
    <w:p w14:paraId="3E709B76" w14:textId="77777777" w:rsidR="00746E0A" w:rsidRPr="002139AB" w:rsidRDefault="00746E0A" w:rsidP="007F1426">
      <w:pPr>
        <w:tabs>
          <w:tab w:val="left" w:pos="1635"/>
        </w:tabs>
        <w:spacing w:line="360" w:lineRule="auto"/>
        <w:jc w:val="both"/>
        <w:rPr>
          <w:rFonts w:ascii="Arial" w:eastAsia="Arial" w:hAnsi="Arial" w:cs="Arial"/>
          <w:b/>
          <w:sz w:val="22"/>
          <w:szCs w:val="22"/>
        </w:rPr>
      </w:pPr>
    </w:p>
    <w:p w14:paraId="612871C8" w14:textId="2385B002" w:rsidR="00C848C0" w:rsidRPr="00321058" w:rsidRDefault="00C848C0" w:rsidP="007F1426">
      <w:pPr>
        <w:tabs>
          <w:tab w:val="left" w:pos="1635"/>
        </w:tabs>
        <w:spacing w:line="360" w:lineRule="auto"/>
        <w:jc w:val="both"/>
        <w:rPr>
          <w:rFonts w:ascii="Arial" w:eastAsia="Arial" w:hAnsi="Arial" w:cs="Arial"/>
          <w:bCs/>
          <w:sz w:val="22"/>
          <w:szCs w:val="22"/>
        </w:rPr>
      </w:pPr>
      <w:r w:rsidRPr="00321058">
        <w:rPr>
          <w:rFonts w:ascii="Arial" w:eastAsia="Arial" w:hAnsi="Arial" w:cs="Arial"/>
          <w:bCs/>
          <w:sz w:val="22"/>
          <w:szCs w:val="22"/>
        </w:rPr>
        <w:t xml:space="preserve">El promovente se duele </w:t>
      </w:r>
      <w:r w:rsidR="00F83992">
        <w:rPr>
          <w:rFonts w:ascii="Arial" w:eastAsia="Arial" w:hAnsi="Arial" w:cs="Arial"/>
          <w:bCs/>
          <w:sz w:val="22"/>
          <w:szCs w:val="22"/>
        </w:rPr>
        <w:t xml:space="preserve">de </w:t>
      </w:r>
      <w:r w:rsidRPr="00321058">
        <w:rPr>
          <w:rFonts w:ascii="Arial" w:eastAsia="Arial" w:hAnsi="Arial" w:cs="Arial"/>
          <w:bCs/>
          <w:sz w:val="22"/>
          <w:szCs w:val="22"/>
        </w:rPr>
        <w:t xml:space="preserve">que el PAN </w:t>
      </w:r>
      <w:r w:rsidR="005C3EE8" w:rsidRPr="00321058">
        <w:rPr>
          <w:rFonts w:ascii="Arial" w:eastAsia="Arial" w:hAnsi="Arial" w:cs="Arial"/>
          <w:bCs/>
          <w:sz w:val="22"/>
          <w:szCs w:val="22"/>
        </w:rPr>
        <w:t>transgre</w:t>
      </w:r>
      <w:r w:rsidR="00366EAE">
        <w:rPr>
          <w:rFonts w:ascii="Arial" w:eastAsia="Arial" w:hAnsi="Arial" w:cs="Arial"/>
          <w:bCs/>
          <w:sz w:val="22"/>
          <w:szCs w:val="22"/>
        </w:rPr>
        <w:t>dió</w:t>
      </w:r>
      <w:r w:rsidRPr="00321058">
        <w:rPr>
          <w:rFonts w:ascii="Arial" w:eastAsia="Arial" w:hAnsi="Arial" w:cs="Arial"/>
          <w:bCs/>
          <w:sz w:val="22"/>
          <w:szCs w:val="22"/>
        </w:rPr>
        <w:t xml:space="preserve"> en su perjuicio el </w:t>
      </w:r>
      <w:r w:rsidR="005C3EE8" w:rsidRPr="00321058">
        <w:rPr>
          <w:rFonts w:ascii="Arial" w:eastAsia="Arial" w:hAnsi="Arial" w:cs="Arial"/>
          <w:bCs/>
          <w:sz w:val="22"/>
          <w:szCs w:val="22"/>
        </w:rPr>
        <w:t>principio</w:t>
      </w:r>
      <w:r w:rsidRPr="00321058">
        <w:rPr>
          <w:rFonts w:ascii="Arial" w:eastAsia="Arial" w:hAnsi="Arial" w:cs="Arial"/>
          <w:bCs/>
          <w:sz w:val="22"/>
          <w:szCs w:val="22"/>
        </w:rPr>
        <w:t xml:space="preserve"> de máxima publicidad al </w:t>
      </w:r>
      <w:r w:rsidR="005C3EE8" w:rsidRPr="00321058">
        <w:rPr>
          <w:rFonts w:ascii="Arial" w:eastAsia="Arial" w:hAnsi="Arial" w:cs="Arial"/>
          <w:bCs/>
          <w:sz w:val="22"/>
          <w:szCs w:val="22"/>
        </w:rPr>
        <w:t>omitir</w:t>
      </w:r>
      <w:r w:rsidRPr="00321058">
        <w:rPr>
          <w:rFonts w:ascii="Arial" w:eastAsia="Arial" w:hAnsi="Arial" w:cs="Arial"/>
          <w:bCs/>
          <w:sz w:val="22"/>
          <w:szCs w:val="22"/>
        </w:rPr>
        <w:t xml:space="preserve"> publicar las </w:t>
      </w:r>
      <w:r w:rsidR="005C3EE8" w:rsidRPr="00321058">
        <w:rPr>
          <w:rFonts w:ascii="Arial" w:eastAsia="Arial" w:hAnsi="Arial" w:cs="Arial"/>
          <w:bCs/>
          <w:sz w:val="22"/>
          <w:szCs w:val="22"/>
        </w:rPr>
        <w:t>renuncias</w:t>
      </w:r>
      <w:r w:rsidRPr="00321058">
        <w:rPr>
          <w:rFonts w:ascii="Arial" w:eastAsia="Arial" w:hAnsi="Arial" w:cs="Arial"/>
          <w:bCs/>
          <w:sz w:val="22"/>
          <w:szCs w:val="22"/>
        </w:rPr>
        <w:t xml:space="preserve"> a las candidaturas del </w:t>
      </w:r>
      <w:r w:rsidR="005C3EE8" w:rsidRPr="00321058">
        <w:rPr>
          <w:rFonts w:ascii="Arial" w:eastAsia="Arial" w:hAnsi="Arial" w:cs="Arial"/>
          <w:bCs/>
          <w:sz w:val="22"/>
          <w:szCs w:val="22"/>
        </w:rPr>
        <w:t>distrito</w:t>
      </w:r>
      <w:r w:rsidRPr="00321058">
        <w:rPr>
          <w:rFonts w:ascii="Arial" w:eastAsia="Arial" w:hAnsi="Arial" w:cs="Arial"/>
          <w:bCs/>
          <w:sz w:val="22"/>
          <w:szCs w:val="22"/>
        </w:rPr>
        <w:t xml:space="preserve"> </w:t>
      </w:r>
      <w:r w:rsidR="00366EAE">
        <w:rPr>
          <w:rFonts w:ascii="Arial" w:eastAsia="Arial" w:hAnsi="Arial" w:cs="Arial"/>
          <w:bCs/>
          <w:sz w:val="22"/>
          <w:szCs w:val="22"/>
        </w:rPr>
        <w:t>XIV</w:t>
      </w:r>
      <w:r w:rsidRPr="00321058">
        <w:rPr>
          <w:rFonts w:ascii="Arial" w:eastAsia="Arial" w:hAnsi="Arial" w:cs="Arial"/>
          <w:bCs/>
          <w:sz w:val="22"/>
          <w:szCs w:val="22"/>
        </w:rPr>
        <w:t xml:space="preserve">, ya que ello </w:t>
      </w:r>
      <w:r w:rsidR="005C3EE8" w:rsidRPr="00321058">
        <w:rPr>
          <w:rFonts w:ascii="Arial" w:eastAsia="Arial" w:hAnsi="Arial" w:cs="Arial"/>
          <w:bCs/>
          <w:sz w:val="22"/>
          <w:szCs w:val="22"/>
        </w:rPr>
        <w:t>impid</w:t>
      </w:r>
      <w:r w:rsidR="00F83992">
        <w:rPr>
          <w:rFonts w:ascii="Arial" w:eastAsia="Arial" w:hAnsi="Arial" w:cs="Arial"/>
          <w:bCs/>
          <w:sz w:val="22"/>
          <w:szCs w:val="22"/>
        </w:rPr>
        <w:t>ió</w:t>
      </w:r>
      <w:r w:rsidR="005C3EE8" w:rsidRPr="00321058">
        <w:rPr>
          <w:rFonts w:ascii="Arial" w:eastAsia="Arial" w:hAnsi="Arial" w:cs="Arial"/>
          <w:bCs/>
          <w:sz w:val="22"/>
          <w:szCs w:val="22"/>
        </w:rPr>
        <w:t xml:space="preserve"> que pudiera participar </w:t>
      </w:r>
      <w:r w:rsidR="008700C4" w:rsidRPr="00321058">
        <w:rPr>
          <w:rFonts w:ascii="Arial" w:eastAsia="Arial" w:hAnsi="Arial" w:cs="Arial"/>
          <w:bCs/>
          <w:sz w:val="22"/>
          <w:szCs w:val="22"/>
        </w:rPr>
        <w:t>en el procedimiento interno de designación de candidaturas para ese distrito.</w:t>
      </w:r>
    </w:p>
    <w:p w14:paraId="22CBBF77" w14:textId="7D7CF0A6" w:rsidR="008700C4" w:rsidRPr="00321058" w:rsidRDefault="008700C4" w:rsidP="007F1426">
      <w:pPr>
        <w:tabs>
          <w:tab w:val="left" w:pos="1635"/>
        </w:tabs>
        <w:spacing w:line="360" w:lineRule="auto"/>
        <w:jc w:val="both"/>
        <w:rPr>
          <w:rFonts w:ascii="Arial" w:eastAsia="Arial" w:hAnsi="Arial" w:cs="Arial"/>
          <w:bCs/>
          <w:sz w:val="22"/>
          <w:szCs w:val="22"/>
        </w:rPr>
      </w:pPr>
    </w:p>
    <w:p w14:paraId="18D42A1C" w14:textId="61DAE397" w:rsidR="008700C4" w:rsidRPr="00321058" w:rsidRDefault="009B0030" w:rsidP="007F1426">
      <w:pPr>
        <w:tabs>
          <w:tab w:val="left" w:pos="1635"/>
        </w:tabs>
        <w:spacing w:line="360" w:lineRule="auto"/>
        <w:jc w:val="both"/>
        <w:rPr>
          <w:rFonts w:ascii="Arial" w:eastAsia="Arial" w:hAnsi="Arial" w:cs="Arial"/>
          <w:bCs/>
          <w:sz w:val="22"/>
          <w:szCs w:val="22"/>
        </w:rPr>
      </w:pPr>
      <w:r>
        <w:rPr>
          <w:rFonts w:ascii="Arial" w:eastAsia="Arial" w:hAnsi="Arial" w:cs="Arial"/>
          <w:bCs/>
          <w:sz w:val="22"/>
          <w:szCs w:val="22"/>
        </w:rPr>
        <w:t>Sobre lo anterior, este</w:t>
      </w:r>
      <w:r w:rsidR="008700C4" w:rsidRPr="00321058">
        <w:rPr>
          <w:rFonts w:ascii="Arial" w:eastAsia="Arial" w:hAnsi="Arial" w:cs="Arial"/>
          <w:bCs/>
          <w:sz w:val="22"/>
          <w:szCs w:val="22"/>
        </w:rPr>
        <w:t xml:space="preserve"> Tribunal </w:t>
      </w:r>
      <w:r w:rsidR="00664070" w:rsidRPr="00321058">
        <w:rPr>
          <w:rFonts w:ascii="Arial" w:eastAsia="Arial" w:hAnsi="Arial" w:cs="Arial"/>
          <w:bCs/>
          <w:sz w:val="22"/>
          <w:szCs w:val="22"/>
        </w:rPr>
        <w:t>considera</w:t>
      </w:r>
      <w:r w:rsidR="008700C4" w:rsidRPr="00321058">
        <w:rPr>
          <w:rFonts w:ascii="Arial" w:eastAsia="Arial" w:hAnsi="Arial" w:cs="Arial"/>
          <w:bCs/>
          <w:sz w:val="22"/>
          <w:szCs w:val="22"/>
        </w:rPr>
        <w:t xml:space="preserve"> </w:t>
      </w:r>
      <w:r w:rsidR="008700C4" w:rsidRPr="00A25C8E">
        <w:rPr>
          <w:rFonts w:ascii="Arial" w:eastAsia="Arial" w:hAnsi="Arial" w:cs="Arial"/>
          <w:b/>
          <w:sz w:val="22"/>
          <w:szCs w:val="22"/>
        </w:rPr>
        <w:t>infundados</w:t>
      </w:r>
      <w:r w:rsidR="008700C4" w:rsidRPr="00321058">
        <w:rPr>
          <w:rFonts w:ascii="Arial" w:eastAsia="Arial" w:hAnsi="Arial" w:cs="Arial"/>
          <w:bCs/>
          <w:sz w:val="22"/>
          <w:szCs w:val="22"/>
        </w:rPr>
        <w:t xml:space="preserve"> los agravios vertidos por el promovente, por las siguientes consideraciones.</w:t>
      </w:r>
    </w:p>
    <w:p w14:paraId="3DED026D" w14:textId="4882F414" w:rsidR="008700C4" w:rsidRPr="00321058" w:rsidRDefault="008700C4" w:rsidP="007F1426">
      <w:pPr>
        <w:tabs>
          <w:tab w:val="left" w:pos="1635"/>
        </w:tabs>
        <w:spacing w:line="360" w:lineRule="auto"/>
        <w:jc w:val="both"/>
        <w:rPr>
          <w:rFonts w:ascii="Arial" w:eastAsia="Arial" w:hAnsi="Arial" w:cs="Arial"/>
          <w:bCs/>
          <w:sz w:val="22"/>
          <w:szCs w:val="22"/>
        </w:rPr>
      </w:pPr>
    </w:p>
    <w:p w14:paraId="62DA6CFE" w14:textId="7A463078" w:rsidR="008700C4" w:rsidRDefault="008700C4" w:rsidP="007F1426">
      <w:pPr>
        <w:tabs>
          <w:tab w:val="left" w:pos="1635"/>
        </w:tabs>
        <w:spacing w:line="360" w:lineRule="auto"/>
        <w:jc w:val="both"/>
        <w:rPr>
          <w:rFonts w:ascii="Arial" w:eastAsia="Arial" w:hAnsi="Arial" w:cs="Arial"/>
          <w:bCs/>
          <w:sz w:val="22"/>
          <w:szCs w:val="22"/>
        </w:rPr>
      </w:pPr>
      <w:r w:rsidRPr="00321058">
        <w:rPr>
          <w:rFonts w:ascii="Arial" w:eastAsia="Arial" w:hAnsi="Arial" w:cs="Arial"/>
          <w:bCs/>
          <w:sz w:val="22"/>
          <w:szCs w:val="22"/>
        </w:rPr>
        <w:t xml:space="preserve">En primer lugar, </w:t>
      </w:r>
      <w:bookmarkStart w:id="10" w:name="_Hlk73443756"/>
      <w:r w:rsidRPr="00321058">
        <w:rPr>
          <w:rFonts w:ascii="Arial" w:eastAsia="Arial" w:hAnsi="Arial" w:cs="Arial"/>
          <w:bCs/>
          <w:sz w:val="22"/>
          <w:szCs w:val="22"/>
        </w:rPr>
        <w:t xml:space="preserve">la publicación de las renuncias </w:t>
      </w:r>
      <w:r w:rsidR="001120A7">
        <w:rPr>
          <w:rFonts w:ascii="Arial" w:eastAsia="Arial" w:hAnsi="Arial" w:cs="Arial"/>
          <w:bCs/>
          <w:sz w:val="22"/>
          <w:szCs w:val="22"/>
        </w:rPr>
        <w:t>a</w:t>
      </w:r>
      <w:r w:rsidRPr="00321058">
        <w:rPr>
          <w:rFonts w:ascii="Arial" w:eastAsia="Arial" w:hAnsi="Arial" w:cs="Arial"/>
          <w:bCs/>
          <w:sz w:val="22"/>
          <w:szCs w:val="22"/>
        </w:rPr>
        <w:t xml:space="preserve"> las candidaturas</w:t>
      </w:r>
      <w:r w:rsidR="00EB4AC0" w:rsidRPr="00321058">
        <w:rPr>
          <w:rFonts w:ascii="Arial" w:eastAsia="Arial" w:hAnsi="Arial" w:cs="Arial"/>
          <w:bCs/>
          <w:sz w:val="22"/>
          <w:szCs w:val="22"/>
        </w:rPr>
        <w:t xml:space="preserve"> por el </w:t>
      </w:r>
      <w:r w:rsidR="00664070" w:rsidRPr="00321058">
        <w:rPr>
          <w:rFonts w:ascii="Arial" w:eastAsia="Arial" w:hAnsi="Arial" w:cs="Arial"/>
          <w:bCs/>
          <w:sz w:val="22"/>
          <w:szCs w:val="22"/>
        </w:rPr>
        <w:t>distrito</w:t>
      </w:r>
      <w:r w:rsidR="00EB4AC0" w:rsidRPr="00321058">
        <w:rPr>
          <w:rFonts w:ascii="Arial" w:eastAsia="Arial" w:hAnsi="Arial" w:cs="Arial"/>
          <w:bCs/>
          <w:sz w:val="22"/>
          <w:szCs w:val="22"/>
        </w:rPr>
        <w:t xml:space="preserve"> XIV,</w:t>
      </w:r>
      <w:r w:rsidR="00664070" w:rsidRPr="00321058">
        <w:rPr>
          <w:rFonts w:ascii="Arial" w:eastAsia="Arial" w:hAnsi="Arial" w:cs="Arial"/>
          <w:bCs/>
          <w:sz w:val="22"/>
          <w:szCs w:val="22"/>
        </w:rPr>
        <w:t xml:space="preserve"> no son diligencias esenciales o incluso, que se consideren que abonen en el </w:t>
      </w:r>
      <w:r w:rsidR="00321058" w:rsidRPr="00321058">
        <w:rPr>
          <w:rFonts w:ascii="Arial" w:eastAsia="Arial" w:hAnsi="Arial" w:cs="Arial"/>
          <w:bCs/>
          <w:sz w:val="22"/>
          <w:szCs w:val="22"/>
        </w:rPr>
        <w:t>conocimiento</w:t>
      </w:r>
      <w:r w:rsidR="00664070" w:rsidRPr="00321058">
        <w:rPr>
          <w:rFonts w:ascii="Arial" w:eastAsia="Arial" w:hAnsi="Arial" w:cs="Arial"/>
          <w:bCs/>
          <w:sz w:val="22"/>
          <w:szCs w:val="22"/>
        </w:rPr>
        <w:t xml:space="preserve"> del promovente de que exista una vacante para los registros de las candidaturas por el mencionado distrito local.</w:t>
      </w:r>
    </w:p>
    <w:bookmarkEnd w:id="10"/>
    <w:p w14:paraId="02ED838E" w14:textId="77777777" w:rsidR="00D30213" w:rsidRDefault="00D30213" w:rsidP="007F1426">
      <w:pPr>
        <w:tabs>
          <w:tab w:val="left" w:pos="1635"/>
        </w:tabs>
        <w:spacing w:line="360" w:lineRule="auto"/>
        <w:jc w:val="both"/>
        <w:rPr>
          <w:rFonts w:ascii="Arial" w:eastAsia="Arial" w:hAnsi="Arial" w:cs="Arial"/>
          <w:bCs/>
          <w:sz w:val="22"/>
          <w:szCs w:val="22"/>
        </w:rPr>
      </w:pPr>
    </w:p>
    <w:p w14:paraId="33E1B2D3" w14:textId="3898CBE7" w:rsidR="00D30213" w:rsidRPr="00321058" w:rsidRDefault="00D30213" w:rsidP="00D30213">
      <w:pPr>
        <w:tabs>
          <w:tab w:val="left" w:pos="1635"/>
        </w:tabs>
        <w:spacing w:line="360" w:lineRule="auto"/>
        <w:jc w:val="both"/>
        <w:rPr>
          <w:rFonts w:ascii="Arial" w:eastAsia="Arial" w:hAnsi="Arial" w:cs="Arial"/>
          <w:bCs/>
          <w:sz w:val="22"/>
          <w:szCs w:val="22"/>
        </w:rPr>
      </w:pPr>
      <w:r>
        <w:rPr>
          <w:rFonts w:ascii="Arial" w:eastAsia="Arial" w:hAnsi="Arial" w:cs="Arial"/>
          <w:bCs/>
          <w:sz w:val="22"/>
          <w:szCs w:val="22"/>
        </w:rPr>
        <w:t>Lo anterior, aunado a que las renuncias a las que refiere el promovente, fueron presentadas ante el Comité Directivo Estatal del PAN en fecha dieciséis de mayo del presente año,</w:t>
      </w:r>
      <w:r>
        <w:rPr>
          <w:rStyle w:val="Refdenotaalpie"/>
          <w:rFonts w:ascii="Arial" w:eastAsia="Arial" w:hAnsi="Arial" w:cs="Arial"/>
          <w:bCs/>
          <w:sz w:val="22"/>
          <w:szCs w:val="22"/>
        </w:rPr>
        <w:footnoteReference w:id="11"/>
      </w:r>
      <w:r>
        <w:rPr>
          <w:rFonts w:ascii="Arial" w:eastAsia="Arial" w:hAnsi="Arial" w:cs="Arial"/>
          <w:bCs/>
          <w:sz w:val="22"/>
          <w:szCs w:val="22"/>
        </w:rPr>
        <w:t xml:space="preserve"> por lo que, al publicarse las providencias el mismo día, darlas a conocer no hubiera generado cambio alguno en la esfera jurídica del actor</w:t>
      </w:r>
      <w:r>
        <w:rPr>
          <w:rFonts w:ascii="Arial" w:hAnsi="Arial" w:cs="Arial"/>
          <w:color w:val="000000"/>
          <w:sz w:val="22"/>
          <w:szCs w:val="22"/>
        </w:rPr>
        <w:t>.</w:t>
      </w:r>
    </w:p>
    <w:p w14:paraId="2EC1BDD4" w14:textId="599C39D8" w:rsidR="00664070" w:rsidRPr="00321058" w:rsidRDefault="00664070" w:rsidP="007F1426">
      <w:pPr>
        <w:tabs>
          <w:tab w:val="left" w:pos="1635"/>
        </w:tabs>
        <w:spacing w:line="360" w:lineRule="auto"/>
        <w:jc w:val="both"/>
        <w:rPr>
          <w:rFonts w:ascii="Arial" w:eastAsia="Arial" w:hAnsi="Arial" w:cs="Arial"/>
          <w:bCs/>
          <w:sz w:val="22"/>
          <w:szCs w:val="22"/>
        </w:rPr>
      </w:pPr>
    </w:p>
    <w:p w14:paraId="5963E66A" w14:textId="36B249B5" w:rsidR="00664070" w:rsidRPr="00321058" w:rsidRDefault="00664070" w:rsidP="007F1426">
      <w:pPr>
        <w:tabs>
          <w:tab w:val="left" w:pos="1635"/>
        </w:tabs>
        <w:spacing w:line="360" w:lineRule="auto"/>
        <w:jc w:val="both"/>
        <w:rPr>
          <w:rFonts w:ascii="Arial" w:eastAsia="Arial" w:hAnsi="Arial" w:cs="Arial"/>
          <w:bCs/>
          <w:sz w:val="22"/>
          <w:szCs w:val="22"/>
        </w:rPr>
      </w:pPr>
      <w:r w:rsidRPr="00321058">
        <w:rPr>
          <w:rFonts w:ascii="Arial" w:eastAsia="Arial" w:hAnsi="Arial" w:cs="Arial"/>
          <w:bCs/>
          <w:sz w:val="22"/>
          <w:szCs w:val="22"/>
        </w:rPr>
        <w:t xml:space="preserve">En </w:t>
      </w:r>
      <w:r w:rsidR="00FD06C1" w:rsidRPr="00321058">
        <w:rPr>
          <w:rFonts w:ascii="Arial" w:eastAsia="Arial" w:hAnsi="Arial" w:cs="Arial"/>
          <w:bCs/>
          <w:sz w:val="22"/>
          <w:szCs w:val="22"/>
        </w:rPr>
        <w:t xml:space="preserve">ese entendimiento, debe precisarse que las actuaciones viables para comunicar </w:t>
      </w:r>
      <w:r w:rsidR="00321058" w:rsidRPr="00321058">
        <w:rPr>
          <w:rFonts w:ascii="Arial" w:eastAsia="Arial" w:hAnsi="Arial" w:cs="Arial"/>
          <w:bCs/>
          <w:sz w:val="22"/>
          <w:szCs w:val="22"/>
        </w:rPr>
        <w:t>las vacantes</w:t>
      </w:r>
      <w:r w:rsidR="00FD06C1" w:rsidRPr="00321058">
        <w:rPr>
          <w:rFonts w:ascii="Arial" w:eastAsia="Arial" w:hAnsi="Arial" w:cs="Arial"/>
          <w:bCs/>
          <w:sz w:val="22"/>
          <w:szCs w:val="22"/>
        </w:rPr>
        <w:t xml:space="preserve"> en los </w:t>
      </w:r>
      <w:r w:rsidR="00321058" w:rsidRPr="00321058">
        <w:rPr>
          <w:rFonts w:ascii="Arial" w:eastAsia="Arial" w:hAnsi="Arial" w:cs="Arial"/>
          <w:bCs/>
          <w:sz w:val="22"/>
          <w:szCs w:val="22"/>
        </w:rPr>
        <w:t>distritos</w:t>
      </w:r>
      <w:r w:rsidR="00FD06C1" w:rsidRPr="00321058">
        <w:rPr>
          <w:rFonts w:ascii="Arial" w:eastAsia="Arial" w:hAnsi="Arial" w:cs="Arial"/>
          <w:bCs/>
          <w:sz w:val="22"/>
          <w:szCs w:val="22"/>
        </w:rPr>
        <w:t xml:space="preserve"> XI, XIV, XV y XVII, así como por la regiduría de mayoría </w:t>
      </w:r>
      <w:r w:rsidR="00321058" w:rsidRPr="00321058">
        <w:rPr>
          <w:rFonts w:ascii="Arial" w:eastAsia="Arial" w:hAnsi="Arial" w:cs="Arial"/>
          <w:bCs/>
          <w:sz w:val="22"/>
          <w:szCs w:val="22"/>
        </w:rPr>
        <w:t>relativa</w:t>
      </w:r>
      <w:r w:rsidR="00FD06C1" w:rsidRPr="00321058">
        <w:rPr>
          <w:rFonts w:ascii="Arial" w:eastAsia="Arial" w:hAnsi="Arial" w:cs="Arial"/>
          <w:bCs/>
          <w:sz w:val="22"/>
          <w:szCs w:val="22"/>
        </w:rPr>
        <w:t xml:space="preserve"> y representación </w:t>
      </w:r>
      <w:r w:rsidR="00375906" w:rsidRPr="00321058">
        <w:rPr>
          <w:rFonts w:ascii="Arial" w:eastAsia="Arial" w:hAnsi="Arial" w:cs="Arial"/>
          <w:bCs/>
          <w:sz w:val="22"/>
          <w:szCs w:val="22"/>
        </w:rPr>
        <w:t xml:space="preserve">proporcional </w:t>
      </w:r>
      <w:r w:rsidR="00171591" w:rsidRPr="00321058">
        <w:rPr>
          <w:rFonts w:ascii="Arial" w:eastAsia="Arial" w:hAnsi="Arial" w:cs="Arial"/>
          <w:bCs/>
          <w:sz w:val="22"/>
          <w:szCs w:val="22"/>
        </w:rPr>
        <w:t xml:space="preserve">en la posición número uno </w:t>
      </w:r>
      <w:r w:rsidR="00FD06C1" w:rsidRPr="00321058">
        <w:rPr>
          <w:rFonts w:ascii="Arial" w:eastAsia="Arial" w:hAnsi="Arial" w:cs="Arial"/>
          <w:bCs/>
          <w:sz w:val="22"/>
          <w:szCs w:val="22"/>
        </w:rPr>
        <w:t xml:space="preserve">del Ayuntamiento de </w:t>
      </w:r>
      <w:r w:rsidR="00321058" w:rsidRPr="00321058">
        <w:rPr>
          <w:rFonts w:ascii="Arial" w:eastAsia="Arial" w:hAnsi="Arial" w:cs="Arial"/>
          <w:bCs/>
          <w:sz w:val="22"/>
          <w:szCs w:val="22"/>
        </w:rPr>
        <w:t>Aguascalientes</w:t>
      </w:r>
      <w:r w:rsidR="00FD06C1" w:rsidRPr="00321058">
        <w:rPr>
          <w:rFonts w:ascii="Arial" w:eastAsia="Arial" w:hAnsi="Arial" w:cs="Arial"/>
          <w:bCs/>
          <w:sz w:val="22"/>
          <w:szCs w:val="22"/>
        </w:rPr>
        <w:t>, lo fue</w:t>
      </w:r>
      <w:r w:rsidR="00321058" w:rsidRPr="00321058">
        <w:rPr>
          <w:rFonts w:ascii="Arial" w:eastAsia="Arial" w:hAnsi="Arial" w:cs="Arial"/>
          <w:bCs/>
          <w:sz w:val="22"/>
          <w:szCs w:val="22"/>
        </w:rPr>
        <w:t>ron las providencia</w:t>
      </w:r>
      <w:r w:rsidR="00321058">
        <w:rPr>
          <w:rFonts w:ascii="Arial" w:eastAsia="Arial" w:hAnsi="Arial" w:cs="Arial"/>
          <w:bCs/>
          <w:sz w:val="22"/>
          <w:szCs w:val="22"/>
        </w:rPr>
        <w:t>s</w:t>
      </w:r>
      <w:r w:rsidR="00321058" w:rsidRPr="00321058">
        <w:rPr>
          <w:rFonts w:ascii="Arial" w:eastAsia="Arial" w:hAnsi="Arial" w:cs="Arial"/>
          <w:bCs/>
          <w:sz w:val="22"/>
          <w:szCs w:val="22"/>
        </w:rPr>
        <w:t xml:space="preserve"> SG/355/2021 Y SG/354/2021, que convocaban a lo siguiente:</w:t>
      </w:r>
    </w:p>
    <w:p w14:paraId="38E1DD3B" w14:textId="311AFC72" w:rsidR="00321058" w:rsidRDefault="00321058" w:rsidP="007F1426">
      <w:pPr>
        <w:tabs>
          <w:tab w:val="left" w:pos="1635"/>
        </w:tabs>
        <w:spacing w:line="360" w:lineRule="auto"/>
        <w:jc w:val="both"/>
        <w:rPr>
          <w:rFonts w:ascii="Arial" w:eastAsia="Arial" w:hAnsi="Arial" w:cs="Arial"/>
          <w:b/>
          <w:sz w:val="22"/>
          <w:szCs w:val="22"/>
        </w:rPr>
      </w:pPr>
    </w:p>
    <w:p w14:paraId="73537003" w14:textId="3C9DC294" w:rsidR="000438A2" w:rsidRDefault="000438A2" w:rsidP="007F1426">
      <w:pPr>
        <w:tabs>
          <w:tab w:val="left" w:pos="1635"/>
        </w:tabs>
        <w:spacing w:line="360" w:lineRule="auto"/>
        <w:jc w:val="both"/>
        <w:rPr>
          <w:rFonts w:ascii="Arial" w:eastAsia="Arial" w:hAnsi="Arial" w:cs="Arial"/>
          <w:bCs/>
          <w:sz w:val="22"/>
          <w:szCs w:val="22"/>
        </w:rPr>
      </w:pPr>
      <w:r w:rsidRPr="000438A2">
        <w:rPr>
          <w:rFonts w:ascii="Arial" w:eastAsia="Arial" w:hAnsi="Arial" w:cs="Arial"/>
          <w:bCs/>
          <w:sz w:val="22"/>
          <w:szCs w:val="22"/>
        </w:rPr>
        <w:t xml:space="preserve">En la providencia </w:t>
      </w:r>
      <w:r w:rsidRPr="00321058">
        <w:rPr>
          <w:rFonts w:ascii="Arial" w:eastAsia="Arial" w:hAnsi="Arial" w:cs="Arial"/>
          <w:bCs/>
          <w:sz w:val="22"/>
          <w:szCs w:val="22"/>
        </w:rPr>
        <w:t>SG/355/2021</w:t>
      </w:r>
      <w:r>
        <w:rPr>
          <w:rFonts w:ascii="Arial" w:eastAsia="Arial" w:hAnsi="Arial" w:cs="Arial"/>
          <w:bCs/>
          <w:sz w:val="22"/>
          <w:szCs w:val="22"/>
        </w:rPr>
        <w:t>:</w:t>
      </w:r>
    </w:p>
    <w:p w14:paraId="48557951" w14:textId="58EA5711" w:rsidR="00C848C0" w:rsidRDefault="000438A2" w:rsidP="00213DA8">
      <w:pPr>
        <w:tabs>
          <w:tab w:val="left" w:pos="1635"/>
        </w:tabs>
        <w:spacing w:line="360" w:lineRule="auto"/>
        <w:jc w:val="center"/>
        <w:rPr>
          <w:rFonts w:ascii="Arial" w:eastAsia="Arial" w:hAnsi="Arial" w:cs="Arial"/>
          <w:b/>
          <w:sz w:val="22"/>
          <w:szCs w:val="22"/>
        </w:rPr>
      </w:pPr>
      <w:r>
        <w:rPr>
          <w:rFonts w:ascii="Arial" w:eastAsia="Arial" w:hAnsi="Arial" w:cs="Arial"/>
          <w:b/>
          <w:noProof/>
          <w:sz w:val="22"/>
          <w:szCs w:val="22"/>
        </w:rPr>
        <w:drawing>
          <wp:inline distT="0" distB="0" distL="0" distR="0" wp14:anchorId="0F975A00" wp14:editId="579813DE">
            <wp:extent cx="3805551" cy="2414954"/>
            <wp:effectExtent l="0" t="0" r="508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2447999"/>
                    </a:xfrm>
                    <a:prstGeom prst="rect">
                      <a:avLst/>
                    </a:prstGeom>
                    <a:noFill/>
                    <a:ln>
                      <a:noFill/>
                    </a:ln>
                  </pic:spPr>
                </pic:pic>
              </a:graphicData>
            </a:graphic>
          </wp:inline>
        </w:drawing>
      </w:r>
    </w:p>
    <w:p w14:paraId="55AB468E" w14:textId="4353D893" w:rsidR="00C848C0" w:rsidRDefault="000438A2" w:rsidP="007F1426">
      <w:pPr>
        <w:tabs>
          <w:tab w:val="left" w:pos="1635"/>
        </w:tabs>
        <w:spacing w:line="360" w:lineRule="auto"/>
        <w:jc w:val="both"/>
        <w:rPr>
          <w:rFonts w:ascii="Arial" w:eastAsia="Arial" w:hAnsi="Arial" w:cs="Arial"/>
          <w:b/>
          <w:sz w:val="22"/>
          <w:szCs w:val="22"/>
        </w:rPr>
      </w:pPr>
      <w:r w:rsidRPr="007F6A1D">
        <w:rPr>
          <w:rFonts w:ascii="Arial" w:eastAsia="Arial" w:hAnsi="Arial" w:cs="Arial"/>
          <w:bCs/>
          <w:sz w:val="22"/>
          <w:szCs w:val="22"/>
        </w:rPr>
        <w:t>En la providencia</w:t>
      </w:r>
      <w:r>
        <w:rPr>
          <w:rFonts w:ascii="Arial" w:eastAsia="Arial" w:hAnsi="Arial" w:cs="Arial"/>
          <w:b/>
          <w:sz w:val="22"/>
          <w:szCs w:val="22"/>
        </w:rPr>
        <w:t xml:space="preserve"> </w:t>
      </w:r>
      <w:r w:rsidRPr="00321058">
        <w:rPr>
          <w:rFonts w:ascii="Arial" w:eastAsia="Arial" w:hAnsi="Arial" w:cs="Arial"/>
          <w:bCs/>
          <w:sz w:val="22"/>
          <w:szCs w:val="22"/>
        </w:rPr>
        <w:t>SG/354/2021</w:t>
      </w:r>
      <w:r>
        <w:rPr>
          <w:rFonts w:ascii="Arial" w:eastAsia="Arial" w:hAnsi="Arial" w:cs="Arial"/>
          <w:bCs/>
          <w:sz w:val="22"/>
          <w:szCs w:val="22"/>
        </w:rPr>
        <w:t xml:space="preserve"> “Fe de erratas</w:t>
      </w:r>
      <w:r w:rsidR="007F6A1D">
        <w:rPr>
          <w:rFonts w:ascii="Arial" w:eastAsia="Arial" w:hAnsi="Arial" w:cs="Arial"/>
          <w:bCs/>
          <w:sz w:val="22"/>
          <w:szCs w:val="22"/>
        </w:rPr>
        <w:t>”:</w:t>
      </w:r>
    </w:p>
    <w:p w14:paraId="0F35340B" w14:textId="0DC53B75" w:rsidR="007F6A1D" w:rsidRDefault="007F6A1D" w:rsidP="007F6A1D">
      <w:pPr>
        <w:tabs>
          <w:tab w:val="left" w:pos="1635"/>
        </w:tabs>
        <w:spacing w:line="360" w:lineRule="auto"/>
        <w:jc w:val="cente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58548A44" wp14:editId="26BB6B18">
            <wp:extent cx="3716215" cy="27111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181" cy="2747612"/>
                    </a:xfrm>
                    <a:prstGeom prst="rect">
                      <a:avLst/>
                    </a:prstGeom>
                    <a:noFill/>
                    <a:ln>
                      <a:noFill/>
                    </a:ln>
                  </pic:spPr>
                </pic:pic>
              </a:graphicData>
            </a:graphic>
          </wp:inline>
        </w:drawing>
      </w:r>
    </w:p>
    <w:p w14:paraId="1B1A952A" w14:textId="5B2F31FE" w:rsidR="007F6A1D" w:rsidRDefault="007F6A1D" w:rsidP="007F6A1D">
      <w:pPr>
        <w:tabs>
          <w:tab w:val="left" w:pos="1635"/>
        </w:tabs>
        <w:spacing w:line="360" w:lineRule="auto"/>
        <w:jc w:val="center"/>
        <w:rPr>
          <w:rFonts w:ascii="Arial" w:eastAsia="Arial" w:hAnsi="Arial" w:cs="Arial"/>
          <w:b/>
          <w:sz w:val="22"/>
          <w:szCs w:val="22"/>
        </w:rPr>
      </w:pPr>
      <w:r>
        <w:rPr>
          <w:rFonts w:ascii="Arial" w:eastAsia="Arial" w:hAnsi="Arial" w:cs="Arial"/>
          <w:b/>
          <w:noProof/>
          <w:sz w:val="22"/>
          <w:szCs w:val="22"/>
        </w:rPr>
        <w:drawing>
          <wp:inline distT="0" distB="0" distL="0" distR="0" wp14:anchorId="09073F00" wp14:editId="01D0FCB8">
            <wp:extent cx="3610708" cy="2465516"/>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7283" cy="2490491"/>
                    </a:xfrm>
                    <a:prstGeom prst="rect">
                      <a:avLst/>
                    </a:prstGeom>
                    <a:noFill/>
                    <a:ln>
                      <a:noFill/>
                    </a:ln>
                  </pic:spPr>
                </pic:pic>
              </a:graphicData>
            </a:graphic>
          </wp:inline>
        </w:drawing>
      </w:r>
    </w:p>
    <w:p w14:paraId="7DD36630" w14:textId="263B0C97" w:rsidR="007F6A1D" w:rsidRPr="004B3BC6" w:rsidRDefault="007F6A1D" w:rsidP="007F1426">
      <w:pPr>
        <w:tabs>
          <w:tab w:val="left" w:pos="1635"/>
        </w:tabs>
        <w:spacing w:line="360" w:lineRule="auto"/>
        <w:jc w:val="both"/>
        <w:rPr>
          <w:rFonts w:ascii="Arial" w:eastAsia="Arial" w:hAnsi="Arial" w:cs="Arial"/>
          <w:bCs/>
          <w:sz w:val="22"/>
          <w:szCs w:val="22"/>
        </w:rPr>
      </w:pPr>
      <w:r w:rsidRPr="004B3BC6">
        <w:rPr>
          <w:rFonts w:ascii="Arial" w:eastAsia="Arial" w:hAnsi="Arial" w:cs="Arial"/>
          <w:bCs/>
          <w:sz w:val="22"/>
          <w:szCs w:val="22"/>
        </w:rPr>
        <w:t xml:space="preserve">De lo anterior, se advierte que la ciudadanía y militancia fue convocada para la participación en el proceso electoral 2020/2021, </w:t>
      </w:r>
      <w:r w:rsidR="00B006D1" w:rsidRPr="004B3BC6">
        <w:rPr>
          <w:rFonts w:ascii="Arial" w:eastAsia="Arial" w:hAnsi="Arial" w:cs="Arial"/>
          <w:bCs/>
          <w:sz w:val="22"/>
          <w:szCs w:val="22"/>
        </w:rPr>
        <w:t xml:space="preserve">siendo el caso que la misma se fijó el día </w:t>
      </w:r>
      <w:r w:rsidR="00D7586A" w:rsidRPr="004B3BC6">
        <w:rPr>
          <w:rFonts w:ascii="Arial" w:eastAsia="Arial" w:hAnsi="Arial" w:cs="Arial"/>
          <w:bCs/>
          <w:sz w:val="22"/>
          <w:szCs w:val="22"/>
        </w:rPr>
        <w:t>dieciséis</w:t>
      </w:r>
      <w:r w:rsidR="00B006D1" w:rsidRPr="004B3BC6">
        <w:rPr>
          <w:rFonts w:ascii="Arial" w:eastAsia="Arial" w:hAnsi="Arial" w:cs="Arial"/>
          <w:bCs/>
          <w:sz w:val="22"/>
          <w:szCs w:val="22"/>
        </w:rPr>
        <w:t xml:space="preserve"> de mayo a las 18 horas, y posteriormente una fe de erratas a las 22 horas, como se precisa</w:t>
      </w:r>
      <w:r w:rsidR="00D7586A" w:rsidRPr="004B3BC6">
        <w:rPr>
          <w:rFonts w:ascii="Arial" w:eastAsia="Arial" w:hAnsi="Arial" w:cs="Arial"/>
          <w:bCs/>
          <w:sz w:val="22"/>
          <w:szCs w:val="22"/>
        </w:rPr>
        <w:t>:</w:t>
      </w:r>
    </w:p>
    <w:p w14:paraId="425EB9C6" w14:textId="4709AE41" w:rsidR="00D3292D" w:rsidRDefault="00D3292D" w:rsidP="007F1426">
      <w:pPr>
        <w:tabs>
          <w:tab w:val="left" w:pos="1635"/>
        </w:tabs>
        <w:spacing w:line="360" w:lineRule="auto"/>
        <w:jc w:val="both"/>
        <w:rPr>
          <w:rFonts w:ascii="Arial" w:eastAsia="Arial" w:hAnsi="Arial" w:cs="Arial"/>
          <w:b/>
          <w:sz w:val="22"/>
          <w:szCs w:val="22"/>
        </w:rPr>
      </w:pPr>
    </w:p>
    <w:p w14:paraId="596EDED6" w14:textId="540FC25D" w:rsidR="00D3292D" w:rsidRDefault="00D3292D" w:rsidP="007F1426">
      <w:pPr>
        <w:tabs>
          <w:tab w:val="left" w:pos="1635"/>
        </w:tabs>
        <w:spacing w:line="360" w:lineRule="auto"/>
        <w:jc w:val="both"/>
        <w:rPr>
          <w:rFonts w:ascii="Arial" w:eastAsia="Arial" w:hAnsi="Arial" w:cs="Arial"/>
          <w:bCs/>
          <w:sz w:val="22"/>
          <w:szCs w:val="22"/>
        </w:rPr>
      </w:pPr>
      <w:r>
        <w:rPr>
          <w:rFonts w:ascii="Arial" w:eastAsia="Arial" w:hAnsi="Arial" w:cs="Arial"/>
          <w:b/>
          <w:sz w:val="22"/>
          <w:szCs w:val="22"/>
        </w:rPr>
        <w:t xml:space="preserve">Convocatoria </w:t>
      </w:r>
      <w:r w:rsidRPr="00321058">
        <w:rPr>
          <w:rFonts w:ascii="Arial" w:eastAsia="Arial" w:hAnsi="Arial" w:cs="Arial"/>
          <w:bCs/>
          <w:sz w:val="22"/>
          <w:szCs w:val="22"/>
        </w:rPr>
        <w:t>SG/355/2021</w:t>
      </w:r>
      <w:r>
        <w:rPr>
          <w:rFonts w:ascii="Arial" w:eastAsia="Arial" w:hAnsi="Arial" w:cs="Arial"/>
          <w:bCs/>
          <w:sz w:val="22"/>
          <w:szCs w:val="22"/>
        </w:rPr>
        <w:t>:</w:t>
      </w:r>
    </w:p>
    <w:p w14:paraId="31000C81" w14:textId="322A0BE5" w:rsidR="00D3292D" w:rsidRDefault="00D3292D" w:rsidP="00D3292D">
      <w:pPr>
        <w:tabs>
          <w:tab w:val="left" w:pos="1635"/>
        </w:tabs>
        <w:spacing w:line="360" w:lineRule="auto"/>
        <w:jc w:val="center"/>
        <w:rPr>
          <w:rFonts w:ascii="Arial" w:eastAsia="Arial" w:hAnsi="Arial" w:cs="Arial"/>
          <w:b/>
          <w:sz w:val="22"/>
          <w:szCs w:val="22"/>
        </w:rPr>
      </w:pPr>
      <w:r>
        <w:rPr>
          <w:rFonts w:ascii="Arial" w:eastAsia="Arial" w:hAnsi="Arial" w:cs="Arial"/>
          <w:bCs/>
          <w:noProof/>
          <w:sz w:val="22"/>
          <w:szCs w:val="22"/>
        </w:rPr>
        <w:drawing>
          <wp:inline distT="0" distB="0" distL="0" distR="0" wp14:anchorId="1046DAD5" wp14:editId="7C3E1D9E">
            <wp:extent cx="3292169" cy="372343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3340" cy="3792621"/>
                    </a:xfrm>
                    <a:prstGeom prst="rect">
                      <a:avLst/>
                    </a:prstGeom>
                    <a:noFill/>
                    <a:ln>
                      <a:noFill/>
                    </a:ln>
                  </pic:spPr>
                </pic:pic>
              </a:graphicData>
            </a:graphic>
          </wp:inline>
        </w:drawing>
      </w:r>
    </w:p>
    <w:p w14:paraId="58DE7796" w14:textId="7DCCAC48" w:rsidR="00D3292D" w:rsidRDefault="00D3292D" w:rsidP="007F1426">
      <w:pPr>
        <w:tabs>
          <w:tab w:val="left" w:pos="1635"/>
        </w:tabs>
        <w:spacing w:line="360" w:lineRule="auto"/>
        <w:jc w:val="both"/>
        <w:rPr>
          <w:rFonts w:ascii="Arial" w:eastAsia="Arial" w:hAnsi="Arial" w:cs="Arial"/>
          <w:bCs/>
          <w:sz w:val="22"/>
          <w:szCs w:val="22"/>
        </w:rPr>
      </w:pPr>
      <w:r w:rsidRPr="00D3292D">
        <w:rPr>
          <w:rFonts w:ascii="Arial" w:eastAsia="Arial" w:hAnsi="Arial" w:cs="Arial"/>
          <w:bCs/>
          <w:sz w:val="22"/>
          <w:szCs w:val="22"/>
        </w:rPr>
        <w:lastRenderedPageBreak/>
        <w:t>Fe de Erratas</w:t>
      </w:r>
      <w:r>
        <w:rPr>
          <w:rFonts w:ascii="Arial" w:eastAsia="Arial" w:hAnsi="Arial" w:cs="Arial"/>
          <w:b/>
          <w:sz w:val="22"/>
          <w:szCs w:val="22"/>
        </w:rPr>
        <w:t xml:space="preserve"> </w:t>
      </w:r>
      <w:r w:rsidRPr="00321058">
        <w:rPr>
          <w:rFonts w:ascii="Arial" w:eastAsia="Arial" w:hAnsi="Arial" w:cs="Arial"/>
          <w:bCs/>
          <w:sz w:val="22"/>
          <w:szCs w:val="22"/>
        </w:rPr>
        <w:t>SG/35</w:t>
      </w:r>
      <w:r>
        <w:rPr>
          <w:rFonts w:ascii="Arial" w:eastAsia="Arial" w:hAnsi="Arial" w:cs="Arial"/>
          <w:bCs/>
          <w:sz w:val="22"/>
          <w:szCs w:val="22"/>
        </w:rPr>
        <w:t>4</w:t>
      </w:r>
      <w:r w:rsidRPr="00321058">
        <w:rPr>
          <w:rFonts w:ascii="Arial" w:eastAsia="Arial" w:hAnsi="Arial" w:cs="Arial"/>
          <w:bCs/>
          <w:sz w:val="22"/>
          <w:szCs w:val="22"/>
        </w:rPr>
        <w:t>/2021</w:t>
      </w:r>
      <w:r>
        <w:rPr>
          <w:rFonts w:ascii="Arial" w:eastAsia="Arial" w:hAnsi="Arial" w:cs="Arial"/>
          <w:bCs/>
          <w:sz w:val="22"/>
          <w:szCs w:val="22"/>
        </w:rPr>
        <w:t>:</w:t>
      </w:r>
    </w:p>
    <w:p w14:paraId="1118650A" w14:textId="6FE8F650" w:rsidR="00D3292D" w:rsidRDefault="00D3292D" w:rsidP="007F1426">
      <w:pPr>
        <w:tabs>
          <w:tab w:val="left" w:pos="1635"/>
        </w:tabs>
        <w:spacing w:line="360" w:lineRule="auto"/>
        <w:jc w:val="both"/>
        <w:rPr>
          <w:rFonts w:ascii="Arial" w:eastAsia="Arial" w:hAnsi="Arial" w:cs="Arial"/>
          <w:bCs/>
          <w:sz w:val="22"/>
          <w:szCs w:val="22"/>
        </w:rPr>
      </w:pPr>
    </w:p>
    <w:p w14:paraId="573E586B" w14:textId="788C7408" w:rsidR="00D3292D" w:rsidRDefault="00D3292D" w:rsidP="00D3292D">
      <w:pPr>
        <w:tabs>
          <w:tab w:val="left" w:pos="1635"/>
        </w:tabs>
        <w:spacing w:line="360" w:lineRule="auto"/>
        <w:jc w:val="center"/>
        <w:rPr>
          <w:rFonts w:ascii="Arial" w:eastAsia="Arial" w:hAnsi="Arial" w:cs="Arial"/>
          <w:bCs/>
          <w:sz w:val="22"/>
          <w:szCs w:val="22"/>
        </w:rPr>
      </w:pPr>
      <w:r>
        <w:rPr>
          <w:rFonts w:ascii="Arial" w:eastAsia="Arial" w:hAnsi="Arial" w:cs="Arial"/>
          <w:bCs/>
          <w:noProof/>
          <w:sz w:val="22"/>
          <w:szCs w:val="22"/>
        </w:rPr>
        <w:drawing>
          <wp:inline distT="0" distB="0" distL="0" distR="0" wp14:anchorId="579EE565" wp14:editId="026827D9">
            <wp:extent cx="3254113" cy="3584448"/>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892" cy="3607336"/>
                    </a:xfrm>
                    <a:prstGeom prst="rect">
                      <a:avLst/>
                    </a:prstGeom>
                    <a:noFill/>
                    <a:ln>
                      <a:noFill/>
                    </a:ln>
                  </pic:spPr>
                </pic:pic>
              </a:graphicData>
            </a:graphic>
          </wp:inline>
        </w:drawing>
      </w:r>
    </w:p>
    <w:p w14:paraId="62E18578" w14:textId="069ED445" w:rsidR="00D3292D" w:rsidRDefault="00D3292D" w:rsidP="007F1426">
      <w:pPr>
        <w:tabs>
          <w:tab w:val="left" w:pos="1635"/>
        </w:tabs>
        <w:spacing w:line="360" w:lineRule="auto"/>
        <w:jc w:val="both"/>
        <w:rPr>
          <w:rFonts w:ascii="Arial" w:eastAsia="Arial" w:hAnsi="Arial" w:cs="Arial"/>
          <w:bCs/>
          <w:sz w:val="22"/>
          <w:szCs w:val="22"/>
        </w:rPr>
      </w:pPr>
    </w:p>
    <w:p w14:paraId="164207CD" w14:textId="2E5055D8" w:rsidR="002B36DA" w:rsidRPr="00324D9D" w:rsidRDefault="002B36DA" w:rsidP="007F1426">
      <w:pPr>
        <w:tabs>
          <w:tab w:val="left" w:pos="1635"/>
        </w:tabs>
        <w:spacing w:line="360" w:lineRule="auto"/>
        <w:jc w:val="both"/>
        <w:rPr>
          <w:rFonts w:ascii="Arial" w:eastAsia="Arial" w:hAnsi="Arial" w:cs="Arial"/>
          <w:b/>
          <w:sz w:val="22"/>
          <w:szCs w:val="22"/>
        </w:rPr>
      </w:pPr>
      <w:r>
        <w:rPr>
          <w:rFonts w:ascii="Arial" w:eastAsia="Arial" w:hAnsi="Arial" w:cs="Arial"/>
          <w:bCs/>
          <w:sz w:val="22"/>
          <w:szCs w:val="22"/>
        </w:rPr>
        <w:t xml:space="preserve">De esta manera se concluye que, las providencias </w:t>
      </w:r>
      <w:r w:rsidRPr="00321058">
        <w:rPr>
          <w:rFonts w:ascii="Arial" w:eastAsia="Arial" w:hAnsi="Arial" w:cs="Arial"/>
          <w:bCs/>
          <w:sz w:val="22"/>
          <w:szCs w:val="22"/>
        </w:rPr>
        <w:t>SG/35</w:t>
      </w:r>
      <w:r>
        <w:rPr>
          <w:rFonts w:ascii="Arial" w:eastAsia="Arial" w:hAnsi="Arial" w:cs="Arial"/>
          <w:bCs/>
          <w:sz w:val="22"/>
          <w:szCs w:val="22"/>
        </w:rPr>
        <w:t>4</w:t>
      </w:r>
      <w:r w:rsidRPr="00321058">
        <w:rPr>
          <w:rFonts w:ascii="Arial" w:eastAsia="Arial" w:hAnsi="Arial" w:cs="Arial"/>
          <w:bCs/>
          <w:sz w:val="22"/>
          <w:szCs w:val="22"/>
        </w:rPr>
        <w:t>/2021</w:t>
      </w:r>
      <w:r>
        <w:rPr>
          <w:rFonts w:ascii="Arial" w:eastAsia="Arial" w:hAnsi="Arial" w:cs="Arial"/>
          <w:bCs/>
          <w:sz w:val="22"/>
          <w:szCs w:val="22"/>
        </w:rPr>
        <w:t xml:space="preserve"> y </w:t>
      </w:r>
      <w:r w:rsidRPr="00321058">
        <w:rPr>
          <w:rFonts w:ascii="Arial" w:eastAsia="Arial" w:hAnsi="Arial" w:cs="Arial"/>
          <w:bCs/>
          <w:sz w:val="22"/>
          <w:szCs w:val="22"/>
        </w:rPr>
        <w:t>SG/35</w:t>
      </w:r>
      <w:r>
        <w:rPr>
          <w:rFonts w:ascii="Arial" w:eastAsia="Arial" w:hAnsi="Arial" w:cs="Arial"/>
          <w:bCs/>
          <w:sz w:val="22"/>
          <w:szCs w:val="22"/>
        </w:rPr>
        <w:t>5</w:t>
      </w:r>
      <w:r w:rsidRPr="00321058">
        <w:rPr>
          <w:rFonts w:ascii="Arial" w:eastAsia="Arial" w:hAnsi="Arial" w:cs="Arial"/>
          <w:bCs/>
          <w:sz w:val="22"/>
          <w:szCs w:val="22"/>
        </w:rPr>
        <w:t>/2021</w:t>
      </w:r>
      <w:r>
        <w:rPr>
          <w:rFonts w:ascii="Arial" w:eastAsia="Arial" w:hAnsi="Arial" w:cs="Arial"/>
          <w:bCs/>
          <w:sz w:val="22"/>
          <w:szCs w:val="22"/>
        </w:rPr>
        <w:t xml:space="preserve">, </w:t>
      </w:r>
      <w:r w:rsidRPr="00324D9D">
        <w:rPr>
          <w:rFonts w:ascii="Arial" w:eastAsia="Arial" w:hAnsi="Arial" w:cs="Arial"/>
          <w:b/>
          <w:sz w:val="22"/>
          <w:szCs w:val="22"/>
        </w:rPr>
        <w:t xml:space="preserve">contaban con la información necesaria para </w:t>
      </w:r>
      <w:r w:rsidR="0019047C" w:rsidRPr="00324D9D">
        <w:rPr>
          <w:rFonts w:ascii="Arial" w:eastAsia="Arial" w:hAnsi="Arial" w:cs="Arial"/>
          <w:b/>
          <w:sz w:val="22"/>
          <w:szCs w:val="22"/>
        </w:rPr>
        <w:t>hacer extensivo</w:t>
      </w:r>
      <w:r w:rsidRPr="00324D9D">
        <w:rPr>
          <w:rFonts w:ascii="Arial" w:eastAsia="Arial" w:hAnsi="Arial" w:cs="Arial"/>
          <w:b/>
          <w:sz w:val="22"/>
          <w:szCs w:val="22"/>
        </w:rPr>
        <w:t xml:space="preserve"> al promovente, </w:t>
      </w:r>
      <w:r w:rsidR="0019047C" w:rsidRPr="00324D9D">
        <w:rPr>
          <w:rFonts w:ascii="Arial" w:eastAsia="Arial" w:hAnsi="Arial" w:cs="Arial"/>
          <w:b/>
          <w:sz w:val="22"/>
          <w:szCs w:val="22"/>
        </w:rPr>
        <w:t>la invitación a participar para los diversos cargos que se encontraban vacantes.</w:t>
      </w:r>
    </w:p>
    <w:p w14:paraId="5AFA0DB1" w14:textId="45EC316B" w:rsidR="00B06FEE" w:rsidRDefault="00B06FEE" w:rsidP="007F1426">
      <w:pPr>
        <w:tabs>
          <w:tab w:val="left" w:pos="1635"/>
        </w:tabs>
        <w:spacing w:line="360" w:lineRule="auto"/>
        <w:jc w:val="both"/>
        <w:rPr>
          <w:rFonts w:ascii="Arial" w:eastAsia="Arial" w:hAnsi="Arial" w:cs="Arial"/>
          <w:bCs/>
          <w:sz w:val="22"/>
          <w:szCs w:val="22"/>
        </w:rPr>
      </w:pPr>
    </w:p>
    <w:p w14:paraId="66854060" w14:textId="1E89EC82" w:rsidR="00F94977" w:rsidRDefault="00B06FEE" w:rsidP="00F94977">
      <w:pPr>
        <w:tabs>
          <w:tab w:val="left" w:pos="1635"/>
        </w:tabs>
        <w:spacing w:line="360" w:lineRule="auto"/>
        <w:jc w:val="both"/>
        <w:rPr>
          <w:rFonts w:ascii="Arial" w:eastAsia="Arial" w:hAnsi="Arial" w:cs="Arial"/>
          <w:bCs/>
          <w:sz w:val="22"/>
          <w:szCs w:val="22"/>
        </w:rPr>
      </w:pPr>
      <w:r>
        <w:rPr>
          <w:rFonts w:ascii="Arial" w:eastAsia="Arial" w:hAnsi="Arial" w:cs="Arial"/>
          <w:bCs/>
          <w:sz w:val="22"/>
          <w:szCs w:val="22"/>
        </w:rPr>
        <w:t>Lo anterior al señalar</w:t>
      </w:r>
      <w:r w:rsidR="00F94977">
        <w:rPr>
          <w:rFonts w:ascii="Arial" w:eastAsia="Arial" w:hAnsi="Arial" w:cs="Arial"/>
          <w:bCs/>
          <w:sz w:val="22"/>
          <w:szCs w:val="22"/>
        </w:rPr>
        <w:t>; “</w:t>
      </w:r>
      <w:r w:rsidR="00F94977" w:rsidRPr="00F94977">
        <w:rPr>
          <w:rFonts w:ascii="Arial" w:eastAsia="Arial" w:hAnsi="Arial" w:cs="Arial"/>
          <w:bCs/>
          <w:sz w:val="22"/>
          <w:szCs w:val="22"/>
        </w:rPr>
        <w:t>Invitación a la ciudadanía en general y a los militantes del Partido Acción nacional a participar como precandidatos en el proceso de selección, vía designación, para la elección DE LAS CANDIDATURAS A LOS CARGOS DE INTEGRANTES DE LAS DIPUTACIONES LOCALES POR EL PRINCIPIO DE MAYORÍA RELATIVA, DEL ESTADO DE AGUASCALIENTES, CON MOTIVO DEL PROCESO ELECTORAL LOCAL 2020-2021, CARGOS QUE SE DESCRIBEN A CONTINUACIÓN:</w:t>
      </w:r>
      <w:r w:rsidR="00F94977">
        <w:rPr>
          <w:rFonts w:ascii="Arial" w:eastAsia="Arial" w:hAnsi="Arial" w:cs="Arial"/>
          <w:bCs/>
          <w:sz w:val="22"/>
          <w:szCs w:val="22"/>
        </w:rPr>
        <w:t xml:space="preserve">”, y después precisar que la </w:t>
      </w:r>
      <w:r w:rsidR="006404A0">
        <w:rPr>
          <w:rFonts w:ascii="Arial" w:eastAsia="Arial" w:hAnsi="Arial" w:cs="Arial"/>
          <w:bCs/>
          <w:sz w:val="22"/>
          <w:szCs w:val="22"/>
        </w:rPr>
        <w:t>invitación</w:t>
      </w:r>
      <w:r w:rsidR="00F94977">
        <w:rPr>
          <w:rFonts w:ascii="Arial" w:eastAsia="Arial" w:hAnsi="Arial" w:cs="Arial"/>
          <w:bCs/>
          <w:sz w:val="22"/>
          <w:szCs w:val="22"/>
        </w:rPr>
        <w:t xml:space="preserve"> se </w:t>
      </w:r>
      <w:r w:rsidR="006404A0">
        <w:rPr>
          <w:rFonts w:ascii="Arial" w:eastAsia="Arial" w:hAnsi="Arial" w:cs="Arial"/>
          <w:bCs/>
          <w:sz w:val="22"/>
          <w:szCs w:val="22"/>
        </w:rPr>
        <w:t>encontraba</w:t>
      </w:r>
      <w:r w:rsidR="00F94977">
        <w:rPr>
          <w:rFonts w:ascii="Arial" w:eastAsia="Arial" w:hAnsi="Arial" w:cs="Arial"/>
          <w:bCs/>
          <w:sz w:val="22"/>
          <w:szCs w:val="22"/>
        </w:rPr>
        <w:t xml:space="preserve"> abierta específicamente para los distritos XI, XIV, XV y XVII, </w:t>
      </w:r>
      <w:r w:rsidR="006404A0" w:rsidRPr="006404A0">
        <w:rPr>
          <w:rFonts w:ascii="Arial" w:eastAsia="Arial" w:hAnsi="Arial" w:cs="Arial"/>
          <w:bCs/>
          <w:sz w:val="22"/>
          <w:szCs w:val="22"/>
        </w:rPr>
        <w:t>así como la primera posición en la lista de regidurías por ambos principios del municipio de Aguascalientes.</w:t>
      </w:r>
    </w:p>
    <w:p w14:paraId="2C430BAC" w14:textId="23239429" w:rsidR="009E3E2A" w:rsidRDefault="009E3E2A" w:rsidP="00F94977">
      <w:pPr>
        <w:tabs>
          <w:tab w:val="left" w:pos="1635"/>
        </w:tabs>
        <w:spacing w:line="360" w:lineRule="auto"/>
        <w:jc w:val="both"/>
        <w:rPr>
          <w:rFonts w:ascii="Arial" w:eastAsia="Arial" w:hAnsi="Arial" w:cs="Arial"/>
          <w:bCs/>
          <w:sz w:val="22"/>
          <w:szCs w:val="22"/>
        </w:rPr>
      </w:pPr>
    </w:p>
    <w:p w14:paraId="26F7B818" w14:textId="0F3941D1" w:rsidR="009E3E2A" w:rsidRPr="00F94977" w:rsidRDefault="009E3E2A" w:rsidP="00F94977">
      <w:pPr>
        <w:tabs>
          <w:tab w:val="left" w:pos="1635"/>
        </w:tabs>
        <w:spacing w:line="360" w:lineRule="auto"/>
        <w:jc w:val="both"/>
        <w:rPr>
          <w:rFonts w:ascii="Arial" w:eastAsia="Arial" w:hAnsi="Arial" w:cs="Arial"/>
          <w:bCs/>
          <w:sz w:val="22"/>
          <w:szCs w:val="22"/>
        </w:rPr>
      </w:pPr>
      <w:r>
        <w:rPr>
          <w:rFonts w:ascii="Arial" w:eastAsia="Arial" w:hAnsi="Arial" w:cs="Arial"/>
          <w:bCs/>
          <w:sz w:val="22"/>
          <w:szCs w:val="22"/>
        </w:rPr>
        <w:t xml:space="preserve">Ahora bien, a la misma suerte le lleva al </w:t>
      </w:r>
      <w:r w:rsidR="009F23B8">
        <w:rPr>
          <w:rFonts w:ascii="Arial" w:eastAsia="Arial" w:hAnsi="Arial" w:cs="Arial"/>
          <w:bCs/>
          <w:sz w:val="22"/>
          <w:szCs w:val="22"/>
        </w:rPr>
        <w:t>promovente</w:t>
      </w:r>
      <w:r>
        <w:rPr>
          <w:rFonts w:ascii="Arial" w:eastAsia="Arial" w:hAnsi="Arial" w:cs="Arial"/>
          <w:bCs/>
          <w:sz w:val="22"/>
          <w:szCs w:val="22"/>
        </w:rPr>
        <w:t xml:space="preserve">, que la sustitución de la </w:t>
      </w:r>
      <w:r w:rsidR="009F23B8">
        <w:rPr>
          <w:rFonts w:ascii="Arial" w:eastAsia="Arial" w:hAnsi="Arial" w:cs="Arial"/>
          <w:bCs/>
          <w:sz w:val="22"/>
          <w:szCs w:val="22"/>
        </w:rPr>
        <w:t>candidatura</w:t>
      </w:r>
      <w:r>
        <w:rPr>
          <w:rFonts w:ascii="Arial" w:eastAsia="Arial" w:hAnsi="Arial" w:cs="Arial"/>
          <w:bCs/>
          <w:sz w:val="22"/>
          <w:szCs w:val="22"/>
        </w:rPr>
        <w:t xml:space="preserve"> del </w:t>
      </w:r>
      <w:r w:rsidR="009F23B8">
        <w:rPr>
          <w:rFonts w:ascii="Arial" w:eastAsia="Arial" w:hAnsi="Arial" w:cs="Arial"/>
          <w:bCs/>
          <w:sz w:val="22"/>
          <w:szCs w:val="22"/>
        </w:rPr>
        <w:t>distrito</w:t>
      </w:r>
      <w:r>
        <w:rPr>
          <w:rFonts w:ascii="Arial" w:eastAsia="Arial" w:hAnsi="Arial" w:cs="Arial"/>
          <w:bCs/>
          <w:sz w:val="22"/>
          <w:szCs w:val="22"/>
        </w:rPr>
        <w:t xml:space="preserve"> XIV, se haya realizado</w:t>
      </w:r>
      <w:r w:rsidR="00EA1268">
        <w:rPr>
          <w:rFonts w:ascii="Arial" w:eastAsia="Arial" w:hAnsi="Arial" w:cs="Arial"/>
          <w:bCs/>
          <w:sz w:val="22"/>
          <w:szCs w:val="22"/>
        </w:rPr>
        <w:t xml:space="preserve"> (o subsumido)</w:t>
      </w:r>
      <w:r>
        <w:rPr>
          <w:rFonts w:ascii="Arial" w:eastAsia="Arial" w:hAnsi="Arial" w:cs="Arial"/>
          <w:bCs/>
          <w:sz w:val="22"/>
          <w:szCs w:val="22"/>
        </w:rPr>
        <w:t xml:space="preserve"> mediante las mismas providencias, pues </w:t>
      </w:r>
      <w:r w:rsidR="009F23B8">
        <w:rPr>
          <w:rFonts w:ascii="Arial" w:eastAsia="Arial" w:hAnsi="Arial" w:cs="Arial"/>
          <w:bCs/>
          <w:sz w:val="22"/>
          <w:szCs w:val="22"/>
        </w:rPr>
        <w:t>ello no puede entenderse que le genere perjuicio, dado que las mismas</w:t>
      </w:r>
      <w:r w:rsidR="00752502">
        <w:rPr>
          <w:rFonts w:ascii="Arial" w:eastAsia="Arial" w:hAnsi="Arial" w:cs="Arial"/>
          <w:bCs/>
          <w:sz w:val="22"/>
          <w:szCs w:val="22"/>
        </w:rPr>
        <w:t>, son claras en su contenido como ya fue analizado</w:t>
      </w:r>
      <w:r w:rsidR="00EA1268">
        <w:rPr>
          <w:rFonts w:ascii="Arial" w:eastAsia="Arial" w:hAnsi="Arial" w:cs="Arial"/>
          <w:bCs/>
          <w:sz w:val="22"/>
          <w:szCs w:val="22"/>
        </w:rPr>
        <w:t xml:space="preserve">, por lo que no se logra acreditar falta de certidumbre y/u objetividad. </w:t>
      </w:r>
    </w:p>
    <w:p w14:paraId="35B74337" w14:textId="77777777" w:rsidR="00282327" w:rsidRPr="00E10A53" w:rsidRDefault="00282327" w:rsidP="00833A4F">
      <w:pPr>
        <w:spacing w:line="276" w:lineRule="auto"/>
        <w:ind w:left="708"/>
        <w:jc w:val="both"/>
        <w:rPr>
          <w:i/>
          <w:iCs/>
          <w:sz w:val="24"/>
          <w:szCs w:val="24"/>
        </w:rPr>
      </w:pPr>
    </w:p>
    <w:p w14:paraId="70A6C2F1" w14:textId="70CD6C99" w:rsidR="009F525F" w:rsidRDefault="009F525F" w:rsidP="00E65D99">
      <w:pPr>
        <w:spacing w:line="360" w:lineRule="auto"/>
        <w:jc w:val="both"/>
        <w:rPr>
          <w:rFonts w:ascii="Arial" w:eastAsia="Arial" w:hAnsi="Arial" w:cs="Arial"/>
          <w:sz w:val="22"/>
          <w:szCs w:val="22"/>
        </w:rPr>
      </w:pPr>
      <w:r>
        <w:rPr>
          <w:rFonts w:ascii="Arial" w:eastAsia="Arial" w:hAnsi="Arial" w:cs="Arial"/>
          <w:sz w:val="22"/>
          <w:szCs w:val="22"/>
        </w:rPr>
        <w:t>Consecuentemente,</w:t>
      </w:r>
      <w:r w:rsidR="006404A0">
        <w:rPr>
          <w:rFonts w:ascii="Arial" w:eastAsia="Arial" w:hAnsi="Arial" w:cs="Arial"/>
          <w:sz w:val="22"/>
          <w:szCs w:val="22"/>
        </w:rPr>
        <w:t xml:space="preserve"> al encontrarse las providencias debidamente publicadas y contar con los elementos suficientes,</w:t>
      </w:r>
      <w:r>
        <w:rPr>
          <w:rFonts w:ascii="Arial" w:eastAsia="Arial" w:hAnsi="Arial" w:cs="Arial"/>
          <w:sz w:val="22"/>
          <w:szCs w:val="22"/>
        </w:rPr>
        <w:t xml:space="preserve"> este Tribunal determina </w:t>
      </w:r>
      <w:r w:rsidRPr="009F525F">
        <w:rPr>
          <w:rFonts w:ascii="Arial" w:eastAsia="Arial" w:hAnsi="Arial" w:cs="Arial"/>
          <w:b/>
          <w:bCs/>
          <w:sz w:val="22"/>
          <w:szCs w:val="22"/>
        </w:rPr>
        <w:t>infundados</w:t>
      </w:r>
      <w:r>
        <w:rPr>
          <w:rFonts w:ascii="Arial" w:eastAsia="Arial" w:hAnsi="Arial" w:cs="Arial"/>
          <w:sz w:val="22"/>
          <w:szCs w:val="22"/>
        </w:rPr>
        <w:t xml:space="preserve"> los agravios del actor.</w:t>
      </w:r>
    </w:p>
    <w:p w14:paraId="13CC0F57" w14:textId="16753A6D" w:rsidR="00715D5C" w:rsidRDefault="00715D5C" w:rsidP="00E65D99">
      <w:pPr>
        <w:spacing w:line="360" w:lineRule="auto"/>
        <w:jc w:val="both"/>
        <w:rPr>
          <w:rFonts w:ascii="Arial" w:eastAsia="Arial" w:hAnsi="Arial" w:cs="Arial"/>
          <w:sz w:val="22"/>
          <w:szCs w:val="22"/>
        </w:rPr>
      </w:pPr>
    </w:p>
    <w:p w14:paraId="2A4F1575" w14:textId="36F6E346" w:rsidR="00715D5C" w:rsidRDefault="00715D5C" w:rsidP="00E65D99">
      <w:pPr>
        <w:spacing w:line="360" w:lineRule="auto"/>
        <w:jc w:val="both"/>
        <w:rPr>
          <w:rFonts w:ascii="Arial" w:eastAsia="Arial" w:hAnsi="Arial" w:cs="Arial"/>
          <w:sz w:val="22"/>
          <w:szCs w:val="22"/>
        </w:rPr>
      </w:pPr>
    </w:p>
    <w:p w14:paraId="3879CFFE" w14:textId="77777777" w:rsidR="00715D5C" w:rsidRDefault="00715D5C" w:rsidP="00E65D99">
      <w:pPr>
        <w:spacing w:line="360" w:lineRule="auto"/>
        <w:jc w:val="both"/>
        <w:rPr>
          <w:rFonts w:ascii="Arial" w:eastAsia="Arial" w:hAnsi="Arial" w:cs="Arial"/>
          <w:sz w:val="22"/>
          <w:szCs w:val="22"/>
        </w:rPr>
      </w:pPr>
    </w:p>
    <w:p w14:paraId="498FA87A" w14:textId="273F3A0C" w:rsidR="004B3BC6" w:rsidRDefault="004B3BC6" w:rsidP="00E65D99">
      <w:pPr>
        <w:spacing w:line="360" w:lineRule="auto"/>
        <w:jc w:val="both"/>
        <w:rPr>
          <w:rFonts w:ascii="Arial" w:eastAsia="Arial" w:hAnsi="Arial" w:cs="Arial"/>
          <w:sz w:val="22"/>
          <w:szCs w:val="22"/>
        </w:rPr>
      </w:pPr>
    </w:p>
    <w:p w14:paraId="2BB4D9DC" w14:textId="4973F54B" w:rsidR="003305E6" w:rsidRPr="002139AB" w:rsidRDefault="003305E6" w:rsidP="003305E6">
      <w:pPr>
        <w:tabs>
          <w:tab w:val="left" w:pos="1635"/>
        </w:tabs>
        <w:spacing w:line="360" w:lineRule="auto"/>
        <w:jc w:val="both"/>
        <w:rPr>
          <w:rFonts w:ascii="Arial" w:eastAsia="Arial" w:hAnsi="Arial" w:cs="Arial"/>
          <w:b/>
          <w:sz w:val="22"/>
          <w:szCs w:val="22"/>
        </w:rPr>
      </w:pPr>
      <w:r>
        <w:rPr>
          <w:rFonts w:ascii="Arial" w:eastAsia="Arial" w:hAnsi="Arial" w:cs="Arial"/>
          <w:b/>
          <w:sz w:val="22"/>
          <w:szCs w:val="22"/>
        </w:rPr>
        <w:lastRenderedPageBreak/>
        <w:t>5</w:t>
      </w:r>
      <w:r w:rsidRPr="002139AB">
        <w:rPr>
          <w:rFonts w:ascii="Arial" w:eastAsia="Arial" w:hAnsi="Arial" w:cs="Arial"/>
          <w:b/>
          <w:sz w:val="22"/>
          <w:szCs w:val="22"/>
        </w:rPr>
        <w:t>.</w:t>
      </w:r>
      <w:r>
        <w:rPr>
          <w:rFonts w:ascii="Arial" w:eastAsia="Arial" w:hAnsi="Arial" w:cs="Arial"/>
          <w:b/>
          <w:sz w:val="22"/>
          <w:szCs w:val="22"/>
        </w:rPr>
        <w:t>3</w:t>
      </w:r>
      <w:r w:rsidRPr="002139AB">
        <w:rPr>
          <w:rFonts w:ascii="Arial" w:eastAsia="Arial" w:hAnsi="Arial" w:cs="Arial"/>
          <w:b/>
          <w:sz w:val="22"/>
          <w:szCs w:val="22"/>
        </w:rPr>
        <w:t xml:space="preserve">. </w:t>
      </w:r>
      <w:r>
        <w:rPr>
          <w:rFonts w:ascii="Arial" w:eastAsia="Arial" w:hAnsi="Arial" w:cs="Arial"/>
          <w:b/>
          <w:sz w:val="22"/>
          <w:szCs w:val="22"/>
        </w:rPr>
        <w:t xml:space="preserve">El PAN podía </w:t>
      </w:r>
      <w:r w:rsidR="00C3631A">
        <w:rPr>
          <w:rFonts w:ascii="Arial" w:eastAsia="Arial" w:hAnsi="Arial" w:cs="Arial"/>
          <w:b/>
          <w:sz w:val="22"/>
          <w:szCs w:val="22"/>
        </w:rPr>
        <w:t>sustituir</w:t>
      </w:r>
      <w:r>
        <w:rPr>
          <w:rFonts w:ascii="Arial" w:eastAsia="Arial" w:hAnsi="Arial" w:cs="Arial"/>
          <w:b/>
          <w:sz w:val="22"/>
          <w:szCs w:val="22"/>
        </w:rPr>
        <w:t xml:space="preserve"> libremente candidaturas, con independencia de los efectos de la sentencia SM-J</w:t>
      </w:r>
      <w:r w:rsidR="00C3631A">
        <w:rPr>
          <w:rFonts w:ascii="Arial" w:eastAsia="Arial" w:hAnsi="Arial" w:cs="Arial"/>
          <w:b/>
          <w:sz w:val="22"/>
          <w:szCs w:val="22"/>
        </w:rPr>
        <w:t>RC-065/2021</w:t>
      </w:r>
      <w:r w:rsidRPr="002139AB">
        <w:rPr>
          <w:rFonts w:ascii="Arial" w:eastAsia="Arial" w:hAnsi="Arial" w:cs="Arial"/>
          <w:b/>
          <w:sz w:val="22"/>
          <w:szCs w:val="22"/>
        </w:rPr>
        <w:t>.</w:t>
      </w:r>
    </w:p>
    <w:p w14:paraId="54169E4B" w14:textId="00961D56" w:rsidR="003305E6" w:rsidRDefault="003305E6" w:rsidP="003305E6">
      <w:pPr>
        <w:tabs>
          <w:tab w:val="left" w:pos="1635"/>
        </w:tabs>
        <w:spacing w:line="360" w:lineRule="auto"/>
        <w:jc w:val="both"/>
        <w:rPr>
          <w:rFonts w:ascii="Arial" w:eastAsia="Arial" w:hAnsi="Arial" w:cs="Arial"/>
          <w:b/>
          <w:sz w:val="22"/>
          <w:szCs w:val="22"/>
        </w:rPr>
      </w:pPr>
    </w:p>
    <w:p w14:paraId="19F00C9D" w14:textId="5742A142" w:rsidR="00C3631A" w:rsidRDefault="00C3631A" w:rsidP="003305E6">
      <w:pPr>
        <w:tabs>
          <w:tab w:val="left" w:pos="1635"/>
        </w:tabs>
        <w:spacing w:line="360" w:lineRule="auto"/>
        <w:jc w:val="both"/>
        <w:rPr>
          <w:rFonts w:ascii="Arial" w:eastAsia="Arial" w:hAnsi="Arial" w:cs="Arial"/>
          <w:bCs/>
          <w:sz w:val="22"/>
          <w:szCs w:val="22"/>
        </w:rPr>
      </w:pPr>
      <w:r w:rsidRPr="00111C4C">
        <w:rPr>
          <w:rFonts w:ascii="Arial" w:eastAsia="Arial" w:hAnsi="Arial" w:cs="Arial"/>
          <w:bCs/>
          <w:sz w:val="22"/>
          <w:szCs w:val="22"/>
        </w:rPr>
        <w:t xml:space="preserve">En este punto, se analizará lo aducido por el </w:t>
      </w:r>
      <w:r w:rsidR="00111C4C" w:rsidRPr="00111C4C">
        <w:rPr>
          <w:rFonts w:ascii="Arial" w:eastAsia="Arial" w:hAnsi="Arial" w:cs="Arial"/>
          <w:bCs/>
          <w:sz w:val="22"/>
          <w:szCs w:val="22"/>
        </w:rPr>
        <w:t>promovente</w:t>
      </w:r>
      <w:r w:rsidRPr="00111C4C">
        <w:rPr>
          <w:rFonts w:ascii="Arial" w:eastAsia="Arial" w:hAnsi="Arial" w:cs="Arial"/>
          <w:bCs/>
          <w:sz w:val="22"/>
          <w:szCs w:val="22"/>
        </w:rPr>
        <w:t xml:space="preserve">, en </w:t>
      </w:r>
      <w:r w:rsidR="00111C4C" w:rsidRPr="00111C4C">
        <w:rPr>
          <w:rFonts w:ascii="Arial" w:eastAsia="Arial" w:hAnsi="Arial" w:cs="Arial"/>
          <w:bCs/>
          <w:sz w:val="22"/>
          <w:szCs w:val="22"/>
        </w:rPr>
        <w:t>relación</w:t>
      </w:r>
      <w:r w:rsidRPr="00111C4C">
        <w:rPr>
          <w:rFonts w:ascii="Arial" w:eastAsia="Arial" w:hAnsi="Arial" w:cs="Arial"/>
          <w:bCs/>
          <w:sz w:val="22"/>
          <w:szCs w:val="22"/>
        </w:rPr>
        <w:t xml:space="preserve"> a que los actos impugnados </w:t>
      </w:r>
      <w:r w:rsidR="0003211D" w:rsidRPr="00111C4C">
        <w:rPr>
          <w:rFonts w:ascii="Arial" w:eastAsia="Arial" w:hAnsi="Arial" w:cs="Arial"/>
          <w:bCs/>
          <w:sz w:val="22"/>
          <w:szCs w:val="22"/>
        </w:rPr>
        <w:t>fueron motivados en la resolución SM-JRC-</w:t>
      </w:r>
      <w:r w:rsidR="003D400D">
        <w:rPr>
          <w:rFonts w:ascii="Arial" w:eastAsia="Arial" w:hAnsi="Arial" w:cs="Arial"/>
          <w:bCs/>
          <w:sz w:val="22"/>
          <w:szCs w:val="22"/>
        </w:rPr>
        <w:t>0</w:t>
      </w:r>
      <w:r w:rsidR="0003211D" w:rsidRPr="00111C4C">
        <w:rPr>
          <w:rFonts w:ascii="Arial" w:eastAsia="Arial" w:hAnsi="Arial" w:cs="Arial"/>
          <w:bCs/>
          <w:sz w:val="22"/>
          <w:szCs w:val="22"/>
        </w:rPr>
        <w:t xml:space="preserve">65/2021 emitida por la Sala Monterrey, en relación a la invalidez decretada de las candidaturas </w:t>
      </w:r>
      <w:r w:rsidR="00172D06">
        <w:rPr>
          <w:rFonts w:ascii="Arial" w:eastAsia="Arial" w:hAnsi="Arial" w:cs="Arial"/>
          <w:bCs/>
          <w:sz w:val="22"/>
          <w:szCs w:val="22"/>
        </w:rPr>
        <w:t>XI</w:t>
      </w:r>
      <w:r w:rsidR="0003211D" w:rsidRPr="00111C4C">
        <w:rPr>
          <w:rFonts w:ascii="Arial" w:eastAsia="Arial" w:hAnsi="Arial" w:cs="Arial"/>
          <w:bCs/>
          <w:sz w:val="22"/>
          <w:szCs w:val="22"/>
        </w:rPr>
        <w:t xml:space="preserve">, </w:t>
      </w:r>
      <w:r w:rsidR="00172D06">
        <w:rPr>
          <w:rFonts w:ascii="Arial" w:eastAsia="Arial" w:hAnsi="Arial" w:cs="Arial"/>
          <w:bCs/>
          <w:sz w:val="22"/>
          <w:szCs w:val="22"/>
        </w:rPr>
        <w:t>XV</w:t>
      </w:r>
      <w:r w:rsidR="0003211D" w:rsidRPr="00111C4C">
        <w:rPr>
          <w:rFonts w:ascii="Arial" w:eastAsia="Arial" w:hAnsi="Arial" w:cs="Arial"/>
          <w:bCs/>
          <w:sz w:val="22"/>
          <w:szCs w:val="22"/>
        </w:rPr>
        <w:t xml:space="preserve"> y </w:t>
      </w:r>
      <w:r w:rsidR="00172D06">
        <w:rPr>
          <w:rFonts w:ascii="Arial" w:eastAsia="Arial" w:hAnsi="Arial" w:cs="Arial"/>
          <w:bCs/>
          <w:sz w:val="22"/>
          <w:szCs w:val="22"/>
        </w:rPr>
        <w:t>XVII</w:t>
      </w:r>
      <w:r w:rsidR="001F5D8E" w:rsidRPr="00111C4C">
        <w:rPr>
          <w:rFonts w:ascii="Arial" w:eastAsia="Arial" w:hAnsi="Arial" w:cs="Arial"/>
          <w:bCs/>
          <w:sz w:val="22"/>
          <w:szCs w:val="22"/>
        </w:rPr>
        <w:t xml:space="preserve">, por lo que indican que sus efectos no eran </w:t>
      </w:r>
      <w:r w:rsidR="00111C4C" w:rsidRPr="00111C4C">
        <w:rPr>
          <w:rFonts w:ascii="Arial" w:eastAsia="Arial" w:hAnsi="Arial" w:cs="Arial"/>
          <w:bCs/>
          <w:sz w:val="22"/>
          <w:szCs w:val="22"/>
        </w:rPr>
        <w:t>vinculantes</w:t>
      </w:r>
      <w:r w:rsidR="001F5D8E" w:rsidRPr="00111C4C">
        <w:rPr>
          <w:rFonts w:ascii="Arial" w:eastAsia="Arial" w:hAnsi="Arial" w:cs="Arial"/>
          <w:bCs/>
          <w:sz w:val="22"/>
          <w:szCs w:val="22"/>
        </w:rPr>
        <w:t xml:space="preserve"> para realizar modificaciones a las </w:t>
      </w:r>
      <w:r w:rsidR="00111C4C" w:rsidRPr="00111C4C">
        <w:rPr>
          <w:rFonts w:ascii="Arial" w:eastAsia="Arial" w:hAnsi="Arial" w:cs="Arial"/>
          <w:bCs/>
          <w:sz w:val="22"/>
          <w:szCs w:val="22"/>
        </w:rPr>
        <w:t>candidaturas</w:t>
      </w:r>
      <w:r w:rsidR="001F5D8E" w:rsidRPr="00111C4C">
        <w:rPr>
          <w:rFonts w:ascii="Arial" w:eastAsia="Arial" w:hAnsi="Arial" w:cs="Arial"/>
          <w:bCs/>
          <w:sz w:val="22"/>
          <w:szCs w:val="22"/>
        </w:rPr>
        <w:t xml:space="preserve"> del </w:t>
      </w:r>
      <w:r w:rsidR="00111C4C" w:rsidRPr="00111C4C">
        <w:rPr>
          <w:rFonts w:ascii="Arial" w:eastAsia="Arial" w:hAnsi="Arial" w:cs="Arial"/>
          <w:bCs/>
          <w:sz w:val="22"/>
          <w:szCs w:val="22"/>
        </w:rPr>
        <w:t>distrito</w:t>
      </w:r>
      <w:r w:rsidR="001F5D8E" w:rsidRPr="00111C4C">
        <w:rPr>
          <w:rFonts w:ascii="Arial" w:eastAsia="Arial" w:hAnsi="Arial" w:cs="Arial"/>
          <w:bCs/>
          <w:sz w:val="22"/>
          <w:szCs w:val="22"/>
        </w:rPr>
        <w:t xml:space="preserve"> XIV, </w:t>
      </w:r>
      <w:r w:rsidR="00172D06">
        <w:rPr>
          <w:rFonts w:ascii="Arial" w:eastAsia="Arial" w:hAnsi="Arial" w:cs="Arial"/>
          <w:bCs/>
          <w:sz w:val="22"/>
          <w:szCs w:val="22"/>
        </w:rPr>
        <w:t>resultando</w:t>
      </w:r>
      <w:r w:rsidR="001F5D8E" w:rsidRPr="00111C4C">
        <w:rPr>
          <w:rFonts w:ascii="Arial" w:eastAsia="Arial" w:hAnsi="Arial" w:cs="Arial"/>
          <w:bCs/>
          <w:sz w:val="22"/>
          <w:szCs w:val="22"/>
        </w:rPr>
        <w:t xml:space="preserve"> indebido que la </w:t>
      </w:r>
      <w:r w:rsidR="00111C4C" w:rsidRPr="00111C4C">
        <w:rPr>
          <w:rFonts w:ascii="Arial" w:eastAsia="Arial" w:hAnsi="Arial" w:cs="Arial"/>
          <w:bCs/>
          <w:sz w:val="22"/>
          <w:szCs w:val="22"/>
        </w:rPr>
        <w:t>autoridad</w:t>
      </w:r>
      <w:r w:rsidR="001F5D8E" w:rsidRPr="00111C4C">
        <w:rPr>
          <w:rFonts w:ascii="Arial" w:eastAsia="Arial" w:hAnsi="Arial" w:cs="Arial"/>
          <w:bCs/>
          <w:sz w:val="22"/>
          <w:szCs w:val="22"/>
        </w:rPr>
        <w:t xml:space="preserve"> partidista determinara instaura</w:t>
      </w:r>
      <w:r w:rsidR="00E70F54">
        <w:rPr>
          <w:rFonts w:ascii="Arial" w:eastAsia="Arial" w:hAnsi="Arial" w:cs="Arial"/>
          <w:bCs/>
          <w:sz w:val="22"/>
          <w:szCs w:val="22"/>
        </w:rPr>
        <w:t>r</w:t>
      </w:r>
      <w:r w:rsidR="001F5D8E" w:rsidRPr="00111C4C">
        <w:rPr>
          <w:rFonts w:ascii="Arial" w:eastAsia="Arial" w:hAnsi="Arial" w:cs="Arial"/>
          <w:bCs/>
          <w:sz w:val="22"/>
          <w:szCs w:val="22"/>
        </w:rPr>
        <w:t xml:space="preserve"> un procedimiento sumario en relación a</w:t>
      </w:r>
      <w:r w:rsidR="00172D06">
        <w:rPr>
          <w:rFonts w:ascii="Arial" w:eastAsia="Arial" w:hAnsi="Arial" w:cs="Arial"/>
          <w:bCs/>
          <w:sz w:val="22"/>
          <w:szCs w:val="22"/>
        </w:rPr>
        <w:t xml:space="preserve"> este último</w:t>
      </w:r>
      <w:r w:rsidR="00111C4C" w:rsidRPr="00111C4C">
        <w:rPr>
          <w:rFonts w:ascii="Arial" w:eastAsia="Arial" w:hAnsi="Arial" w:cs="Arial"/>
          <w:bCs/>
          <w:sz w:val="22"/>
          <w:szCs w:val="22"/>
        </w:rPr>
        <w:t xml:space="preserve">. </w:t>
      </w:r>
    </w:p>
    <w:p w14:paraId="323133A0" w14:textId="24964204" w:rsidR="00E86F39" w:rsidRDefault="00E86F39" w:rsidP="003305E6">
      <w:pPr>
        <w:tabs>
          <w:tab w:val="left" w:pos="1635"/>
        </w:tabs>
        <w:spacing w:line="360" w:lineRule="auto"/>
        <w:jc w:val="both"/>
        <w:rPr>
          <w:rFonts w:ascii="Arial" w:eastAsia="Arial" w:hAnsi="Arial" w:cs="Arial"/>
          <w:bCs/>
          <w:sz w:val="22"/>
          <w:szCs w:val="22"/>
        </w:rPr>
      </w:pPr>
    </w:p>
    <w:p w14:paraId="336F5278" w14:textId="6669746B" w:rsidR="00E86F39" w:rsidRDefault="00E86F39" w:rsidP="003305E6">
      <w:pPr>
        <w:tabs>
          <w:tab w:val="left" w:pos="1635"/>
        </w:tabs>
        <w:spacing w:line="360" w:lineRule="auto"/>
        <w:jc w:val="both"/>
        <w:rPr>
          <w:rFonts w:ascii="Arial" w:eastAsia="Arial" w:hAnsi="Arial" w:cs="Arial"/>
          <w:bCs/>
          <w:sz w:val="22"/>
          <w:szCs w:val="22"/>
        </w:rPr>
      </w:pPr>
      <w:r>
        <w:rPr>
          <w:rFonts w:ascii="Arial" w:eastAsia="Arial" w:hAnsi="Arial" w:cs="Arial"/>
          <w:bCs/>
          <w:sz w:val="22"/>
          <w:szCs w:val="22"/>
        </w:rPr>
        <w:t>Ahora bien, p</w:t>
      </w:r>
      <w:r w:rsidRPr="00E86F39">
        <w:rPr>
          <w:rFonts w:ascii="Arial" w:eastAsia="Arial" w:hAnsi="Arial" w:cs="Arial"/>
          <w:bCs/>
          <w:sz w:val="22"/>
          <w:szCs w:val="22"/>
        </w:rPr>
        <w:t xml:space="preserve">ara sustituir candidatos, los Partidos Políticos y coaliciones deberán solicitarlo por escrito </w:t>
      </w:r>
      <w:r>
        <w:rPr>
          <w:rFonts w:ascii="Arial" w:eastAsia="Arial" w:hAnsi="Arial" w:cs="Arial"/>
          <w:bCs/>
          <w:sz w:val="22"/>
          <w:szCs w:val="22"/>
        </w:rPr>
        <w:t>a la autoridad administrativa electoral</w:t>
      </w:r>
      <w:r w:rsidRPr="00E86F39">
        <w:rPr>
          <w:rFonts w:ascii="Arial" w:eastAsia="Arial" w:hAnsi="Arial" w:cs="Arial"/>
          <w:bCs/>
          <w:sz w:val="22"/>
          <w:szCs w:val="22"/>
        </w:rPr>
        <w:t>, observando las disposiciones siguientes:</w:t>
      </w:r>
    </w:p>
    <w:p w14:paraId="76A40E6D" w14:textId="0ECA5879" w:rsidR="00E55C94" w:rsidRDefault="00E55C94" w:rsidP="003305E6">
      <w:pPr>
        <w:tabs>
          <w:tab w:val="left" w:pos="1635"/>
        </w:tabs>
        <w:spacing w:line="360" w:lineRule="auto"/>
        <w:jc w:val="both"/>
        <w:rPr>
          <w:rFonts w:ascii="Arial" w:eastAsia="Arial" w:hAnsi="Arial" w:cs="Arial"/>
          <w:bCs/>
          <w:sz w:val="22"/>
          <w:szCs w:val="22"/>
        </w:rPr>
      </w:pPr>
    </w:p>
    <w:p w14:paraId="03B0CA97" w14:textId="45EE9D26" w:rsidR="00E55C94" w:rsidRDefault="00E55C94" w:rsidP="00E55C94">
      <w:pPr>
        <w:pStyle w:val="Prrafodelista"/>
        <w:numPr>
          <w:ilvl w:val="0"/>
          <w:numId w:val="33"/>
        </w:numPr>
        <w:tabs>
          <w:tab w:val="left" w:pos="1635"/>
        </w:tabs>
        <w:spacing w:line="360" w:lineRule="auto"/>
        <w:jc w:val="both"/>
        <w:rPr>
          <w:rFonts w:ascii="Arial" w:eastAsia="Arial" w:hAnsi="Arial" w:cs="Arial"/>
          <w:bCs/>
          <w:sz w:val="22"/>
          <w:szCs w:val="22"/>
        </w:rPr>
      </w:pPr>
      <w:r w:rsidRPr="00E55C94">
        <w:rPr>
          <w:rFonts w:ascii="Arial" w:eastAsia="Arial" w:hAnsi="Arial" w:cs="Arial"/>
          <w:bCs/>
          <w:sz w:val="22"/>
          <w:szCs w:val="22"/>
        </w:rPr>
        <w:t>Podrán sustituirlos libremente dentro del plazo a que se refiere el artículo 144</w:t>
      </w:r>
      <w:r w:rsidR="00692035">
        <w:rPr>
          <w:rStyle w:val="Refdenotaalpie"/>
          <w:rFonts w:ascii="Arial" w:eastAsia="Arial" w:hAnsi="Arial" w:cs="Arial"/>
          <w:bCs/>
          <w:sz w:val="22"/>
          <w:szCs w:val="22"/>
        </w:rPr>
        <w:footnoteReference w:id="12"/>
      </w:r>
      <w:r w:rsidRPr="00E55C94">
        <w:rPr>
          <w:rFonts w:ascii="Arial" w:eastAsia="Arial" w:hAnsi="Arial" w:cs="Arial"/>
          <w:bCs/>
          <w:sz w:val="22"/>
          <w:szCs w:val="22"/>
        </w:rPr>
        <w:t xml:space="preserve"> de este Código;</w:t>
      </w:r>
      <w:r w:rsidR="00D13361">
        <w:rPr>
          <w:rFonts w:ascii="Arial" w:eastAsia="Arial" w:hAnsi="Arial" w:cs="Arial"/>
          <w:bCs/>
          <w:sz w:val="22"/>
          <w:szCs w:val="22"/>
        </w:rPr>
        <w:t xml:space="preserve"> y</w:t>
      </w:r>
    </w:p>
    <w:p w14:paraId="1E2BA05F" w14:textId="2FC473C7" w:rsidR="00E55C94" w:rsidRDefault="00E55C94" w:rsidP="00E55C94">
      <w:pPr>
        <w:pStyle w:val="Prrafodelista"/>
        <w:numPr>
          <w:ilvl w:val="0"/>
          <w:numId w:val="33"/>
        </w:numPr>
        <w:tabs>
          <w:tab w:val="left" w:pos="1635"/>
        </w:tabs>
        <w:spacing w:line="360" w:lineRule="auto"/>
        <w:jc w:val="both"/>
        <w:rPr>
          <w:rFonts w:ascii="Arial" w:eastAsia="Arial" w:hAnsi="Arial" w:cs="Arial"/>
          <w:bCs/>
          <w:sz w:val="22"/>
          <w:szCs w:val="22"/>
        </w:rPr>
      </w:pPr>
      <w:r w:rsidRPr="00E55C94">
        <w:rPr>
          <w:rFonts w:ascii="Arial" w:eastAsia="Arial" w:hAnsi="Arial" w:cs="Arial"/>
          <w:bCs/>
          <w:sz w:val="22"/>
          <w:szCs w:val="22"/>
        </w:rPr>
        <w:t>Vencido el plazo</w:t>
      </w:r>
      <w:r w:rsidR="00F91E4F">
        <w:rPr>
          <w:rFonts w:ascii="Arial" w:eastAsia="Arial" w:hAnsi="Arial" w:cs="Arial"/>
          <w:bCs/>
          <w:sz w:val="22"/>
          <w:szCs w:val="22"/>
        </w:rPr>
        <w:t xml:space="preserve">, </w:t>
      </w:r>
      <w:r w:rsidRPr="00E55C94">
        <w:rPr>
          <w:rFonts w:ascii="Arial" w:eastAsia="Arial" w:hAnsi="Arial" w:cs="Arial"/>
          <w:bCs/>
          <w:sz w:val="22"/>
          <w:szCs w:val="22"/>
        </w:rPr>
        <w:t xml:space="preserve">sólo podrán sustituirlo por fallecimiento, inhabilitación, incapacidad, expulsión del partido que lo postula, </w:t>
      </w:r>
      <w:r w:rsidRPr="00DC4DAA">
        <w:rPr>
          <w:rFonts w:ascii="Arial" w:eastAsia="Arial" w:hAnsi="Arial" w:cs="Arial"/>
          <w:b/>
          <w:sz w:val="22"/>
          <w:szCs w:val="22"/>
        </w:rPr>
        <w:t>renuncia</w:t>
      </w:r>
      <w:r w:rsidRPr="00E55C94">
        <w:rPr>
          <w:rFonts w:ascii="Arial" w:eastAsia="Arial" w:hAnsi="Arial" w:cs="Arial"/>
          <w:bCs/>
          <w:sz w:val="22"/>
          <w:szCs w:val="22"/>
        </w:rPr>
        <w:t xml:space="preserve"> o ubicarse en alguno de los supuestos establecidos en el artículo 10 de este Código; en caso de renuncia no podrá sustituirlos cuando </w:t>
      </w:r>
      <w:r w:rsidR="00DC4DAA">
        <w:rPr>
          <w:rFonts w:ascii="Arial" w:eastAsia="Arial" w:hAnsi="Arial" w:cs="Arial"/>
          <w:bCs/>
          <w:sz w:val="22"/>
          <w:szCs w:val="22"/>
        </w:rPr>
        <w:t>ésta se pr</w:t>
      </w:r>
      <w:r w:rsidRPr="00E55C94">
        <w:rPr>
          <w:rFonts w:ascii="Arial" w:eastAsia="Arial" w:hAnsi="Arial" w:cs="Arial"/>
          <w:bCs/>
          <w:sz w:val="22"/>
          <w:szCs w:val="22"/>
        </w:rPr>
        <w:t>esente dentro de los quince días anteriores al de la elección</w:t>
      </w:r>
      <w:r w:rsidR="00D13361">
        <w:rPr>
          <w:rStyle w:val="Refdenotaalpie"/>
          <w:rFonts w:ascii="Arial" w:eastAsia="Arial" w:hAnsi="Arial" w:cs="Arial"/>
          <w:bCs/>
          <w:sz w:val="22"/>
          <w:szCs w:val="22"/>
        </w:rPr>
        <w:footnoteReference w:id="13"/>
      </w:r>
      <w:r w:rsidRPr="00E55C94">
        <w:rPr>
          <w:rFonts w:ascii="Arial" w:eastAsia="Arial" w:hAnsi="Arial" w:cs="Arial"/>
          <w:bCs/>
          <w:sz w:val="22"/>
          <w:szCs w:val="22"/>
        </w:rPr>
        <w:t xml:space="preserve">. </w:t>
      </w:r>
    </w:p>
    <w:p w14:paraId="7745564A" w14:textId="77777777" w:rsidR="00F2214E" w:rsidRPr="00E55C94" w:rsidRDefault="00F2214E" w:rsidP="00F2214E">
      <w:pPr>
        <w:pStyle w:val="Prrafodelista"/>
        <w:tabs>
          <w:tab w:val="left" w:pos="1635"/>
        </w:tabs>
        <w:spacing w:line="360" w:lineRule="auto"/>
        <w:ind w:left="1080"/>
        <w:jc w:val="both"/>
        <w:rPr>
          <w:rFonts w:ascii="Arial" w:eastAsia="Arial" w:hAnsi="Arial" w:cs="Arial"/>
          <w:bCs/>
          <w:sz w:val="22"/>
          <w:szCs w:val="22"/>
        </w:rPr>
      </w:pPr>
    </w:p>
    <w:p w14:paraId="39579D9E" w14:textId="3B16D8A9" w:rsidR="00434195" w:rsidRPr="00F2214E" w:rsidRDefault="00434195" w:rsidP="00F2214E">
      <w:pPr>
        <w:pStyle w:val="NormalWeb"/>
        <w:shd w:val="clear" w:color="auto" w:fill="FFFFFF"/>
        <w:spacing w:before="0" w:beforeAutospacing="0" w:after="0" w:afterAutospacing="0" w:line="360" w:lineRule="auto"/>
        <w:jc w:val="both"/>
        <w:rPr>
          <w:rFonts w:ascii="Arial" w:hAnsi="Arial" w:cs="Arial"/>
          <w:sz w:val="22"/>
          <w:szCs w:val="22"/>
        </w:rPr>
      </w:pPr>
      <w:r w:rsidRPr="00F2214E">
        <w:rPr>
          <w:rFonts w:ascii="Arial" w:hAnsi="Arial" w:cs="Arial"/>
          <w:sz w:val="22"/>
          <w:szCs w:val="22"/>
        </w:rPr>
        <w:t>De lo señalado, se advierte que la legislación electoral reconoce el derecho de los partidos políticos para sustituir candidaturas, los plazos para ello</w:t>
      </w:r>
      <w:r w:rsidR="006C3537" w:rsidRPr="00F2214E">
        <w:rPr>
          <w:rFonts w:ascii="Arial" w:hAnsi="Arial" w:cs="Arial"/>
          <w:sz w:val="22"/>
          <w:szCs w:val="22"/>
        </w:rPr>
        <w:t xml:space="preserve"> y</w:t>
      </w:r>
      <w:r w:rsidRPr="00F2214E">
        <w:rPr>
          <w:rFonts w:ascii="Arial" w:hAnsi="Arial" w:cs="Arial"/>
          <w:sz w:val="22"/>
          <w:szCs w:val="22"/>
        </w:rPr>
        <w:t xml:space="preserve"> las causas</w:t>
      </w:r>
      <w:r w:rsidR="006C3537" w:rsidRPr="00F2214E">
        <w:rPr>
          <w:rFonts w:ascii="Arial" w:hAnsi="Arial" w:cs="Arial"/>
          <w:sz w:val="22"/>
          <w:szCs w:val="22"/>
        </w:rPr>
        <w:t>.</w:t>
      </w:r>
    </w:p>
    <w:p w14:paraId="2DC4C63E" w14:textId="70F612CF" w:rsidR="00434195" w:rsidRDefault="00434195" w:rsidP="003305E6">
      <w:pPr>
        <w:tabs>
          <w:tab w:val="left" w:pos="1635"/>
        </w:tabs>
        <w:spacing w:line="360" w:lineRule="auto"/>
        <w:jc w:val="both"/>
        <w:rPr>
          <w:rFonts w:ascii="Arial" w:eastAsia="Arial" w:hAnsi="Arial" w:cs="Arial"/>
          <w:bCs/>
          <w:sz w:val="22"/>
          <w:szCs w:val="22"/>
        </w:rPr>
      </w:pPr>
    </w:p>
    <w:p w14:paraId="562C2A3F" w14:textId="70BCFBC4" w:rsidR="00111C4C" w:rsidRDefault="0011501A" w:rsidP="003305E6">
      <w:pPr>
        <w:tabs>
          <w:tab w:val="left" w:pos="1635"/>
        </w:tabs>
        <w:spacing w:line="360" w:lineRule="auto"/>
        <w:jc w:val="both"/>
        <w:rPr>
          <w:rFonts w:ascii="Arial" w:eastAsia="Arial" w:hAnsi="Arial" w:cs="Arial"/>
          <w:bCs/>
          <w:sz w:val="22"/>
          <w:szCs w:val="22"/>
        </w:rPr>
      </w:pPr>
      <w:r>
        <w:rPr>
          <w:rFonts w:ascii="Arial" w:eastAsia="Arial" w:hAnsi="Arial" w:cs="Arial"/>
          <w:bCs/>
          <w:sz w:val="22"/>
          <w:szCs w:val="22"/>
        </w:rPr>
        <w:t>Ahora bien</w:t>
      </w:r>
      <w:r w:rsidR="00111C4C">
        <w:rPr>
          <w:rFonts w:ascii="Arial" w:eastAsia="Arial" w:hAnsi="Arial" w:cs="Arial"/>
          <w:bCs/>
          <w:sz w:val="22"/>
          <w:szCs w:val="22"/>
        </w:rPr>
        <w:t xml:space="preserve">, es </w:t>
      </w:r>
      <w:r w:rsidR="002754A0">
        <w:rPr>
          <w:rFonts w:ascii="Arial" w:eastAsia="Arial" w:hAnsi="Arial" w:cs="Arial"/>
          <w:bCs/>
          <w:sz w:val="22"/>
          <w:szCs w:val="22"/>
        </w:rPr>
        <w:t>oportuno</w:t>
      </w:r>
      <w:r w:rsidR="00111C4C">
        <w:rPr>
          <w:rFonts w:ascii="Arial" w:eastAsia="Arial" w:hAnsi="Arial" w:cs="Arial"/>
          <w:bCs/>
          <w:sz w:val="22"/>
          <w:szCs w:val="22"/>
        </w:rPr>
        <w:t xml:space="preserve"> </w:t>
      </w:r>
      <w:r w:rsidR="00F2214E">
        <w:rPr>
          <w:rFonts w:ascii="Arial" w:eastAsia="Arial" w:hAnsi="Arial" w:cs="Arial"/>
          <w:bCs/>
          <w:sz w:val="22"/>
          <w:szCs w:val="22"/>
        </w:rPr>
        <w:t>establecer</w:t>
      </w:r>
      <w:r w:rsidR="00111C4C">
        <w:rPr>
          <w:rFonts w:ascii="Arial" w:eastAsia="Arial" w:hAnsi="Arial" w:cs="Arial"/>
          <w:bCs/>
          <w:sz w:val="22"/>
          <w:szCs w:val="22"/>
        </w:rPr>
        <w:t xml:space="preserve"> los efectos de la resolución </w:t>
      </w:r>
      <w:r w:rsidR="002754A0" w:rsidRPr="00111C4C">
        <w:rPr>
          <w:rFonts w:ascii="Arial" w:eastAsia="Arial" w:hAnsi="Arial" w:cs="Arial"/>
          <w:bCs/>
          <w:sz w:val="22"/>
          <w:szCs w:val="22"/>
        </w:rPr>
        <w:t>SM-JRC-</w:t>
      </w:r>
      <w:r w:rsidR="00172D06">
        <w:rPr>
          <w:rFonts w:ascii="Arial" w:eastAsia="Arial" w:hAnsi="Arial" w:cs="Arial"/>
          <w:bCs/>
          <w:sz w:val="22"/>
          <w:szCs w:val="22"/>
        </w:rPr>
        <w:t>0</w:t>
      </w:r>
      <w:r w:rsidR="002754A0" w:rsidRPr="00111C4C">
        <w:rPr>
          <w:rFonts w:ascii="Arial" w:eastAsia="Arial" w:hAnsi="Arial" w:cs="Arial"/>
          <w:bCs/>
          <w:sz w:val="22"/>
          <w:szCs w:val="22"/>
        </w:rPr>
        <w:t>65/2021</w:t>
      </w:r>
      <w:r w:rsidR="002754A0">
        <w:rPr>
          <w:rFonts w:ascii="Arial" w:eastAsia="Arial" w:hAnsi="Arial" w:cs="Arial"/>
          <w:bCs/>
          <w:sz w:val="22"/>
          <w:szCs w:val="22"/>
        </w:rPr>
        <w:t>:</w:t>
      </w:r>
    </w:p>
    <w:p w14:paraId="1356B861" w14:textId="77777777" w:rsidR="00E70F54" w:rsidRPr="00111C4C" w:rsidRDefault="00E70F54" w:rsidP="003305E6">
      <w:pPr>
        <w:tabs>
          <w:tab w:val="left" w:pos="1635"/>
        </w:tabs>
        <w:spacing w:line="360" w:lineRule="auto"/>
        <w:jc w:val="both"/>
        <w:rPr>
          <w:rFonts w:ascii="Arial" w:eastAsia="Arial" w:hAnsi="Arial" w:cs="Arial"/>
          <w:bCs/>
          <w:sz w:val="22"/>
          <w:szCs w:val="22"/>
        </w:rPr>
      </w:pPr>
    </w:p>
    <w:p w14:paraId="687063F6" w14:textId="40508C88" w:rsidR="002754A0" w:rsidRDefault="002754A0" w:rsidP="00200C73">
      <w:pPr>
        <w:pStyle w:val="NormalWeb"/>
        <w:shd w:val="clear" w:color="auto" w:fill="FFFFFF"/>
        <w:spacing w:before="0" w:beforeAutospacing="0" w:after="0" w:afterAutospacing="0"/>
        <w:ind w:left="771" w:hanging="357"/>
        <w:jc w:val="both"/>
        <w:rPr>
          <w:rFonts w:ascii="Arial" w:hAnsi="Arial" w:cs="Arial"/>
          <w:b/>
          <w:bCs/>
          <w:caps/>
          <w:sz w:val="20"/>
          <w:szCs w:val="20"/>
        </w:rPr>
      </w:pPr>
      <w:r w:rsidRPr="005C1D8F">
        <w:rPr>
          <w:sz w:val="10"/>
          <w:szCs w:val="10"/>
        </w:rPr>
        <w:t>   </w:t>
      </w:r>
      <w:bookmarkStart w:id="11" w:name="_Toc71928762"/>
      <w:r w:rsidRPr="005C1D8F">
        <w:rPr>
          <w:rFonts w:ascii="Arial" w:hAnsi="Arial" w:cs="Arial"/>
          <w:b/>
          <w:bCs/>
          <w:caps/>
          <w:sz w:val="20"/>
          <w:szCs w:val="20"/>
        </w:rPr>
        <w:t>EFECTOS</w:t>
      </w:r>
      <w:bookmarkEnd w:id="11"/>
    </w:p>
    <w:p w14:paraId="6D2C1B07" w14:textId="77777777" w:rsidR="00172D06" w:rsidRPr="005C1D8F" w:rsidRDefault="00172D06" w:rsidP="00200C73">
      <w:pPr>
        <w:pStyle w:val="NormalWeb"/>
        <w:shd w:val="clear" w:color="auto" w:fill="FFFFFF"/>
        <w:spacing w:before="0" w:beforeAutospacing="0" w:after="0" w:afterAutospacing="0"/>
        <w:ind w:left="771" w:hanging="357"/>
        <w:jc w:val="both"/>
        <w:rPr>
          <w:rFonts w:ascii="Arial" w:hAnsi="Arial" w:cs="Arial"/>
          <w:sz w:val="20"/>
          <w:szCs w:val="20"/>
        </w:rPr>
      </w:pPr>
    </w:p>
    <w:p w14:paraId="3AB7CC8E" w14:textId="42221805" w:rsidR="002754A0" w:rsidRPr="005C1D8F" w:rsidRDefault="002754A0" w:rsidP="00200C73">
      <w:pPr>
        <w:pStyle w:val="NormalWeb"/>
        <w:shd w:val="clear" w:color="auto" w:fill="FFFFFF"/>
        <w:spacing w:before="0" w:beforeAutospacing="0" w:after="0" w:afterAutospacing="0"/>
        <w:ind w:left="1548" w:hanging="720"/>
        <w:jc w:val="both"/>
        <w:rPr>
          <w:rFonts w:ascii="Arial" w:hAnsi="Arial" w:cs="Arial"/>
          <w:sz w:val="20"/>
          <w:szCs w:val="20"/>
        </w:rPr>
      </w:pPr>
      <w:r w:rsidRPr="005C1D8F">
        <w:rPr>
          <w:rFonts w:ascii="Arial" w:hAnsi="Arial" w:cs="Arial"/>
          <w:b/>
          <w:bCs/>
          <w:sz w:val="20"/>
          <w:szCs w:val="20"/>
        </w:rPr>
        <w:t>6.1.</w:t>
      </w:r>
      <w:r w:rsidRPr="005C1D8F">
        <w:rPr>
          <w:sz w:val="10"/>
          <w:szCs w:val="10"/>
        </w:rPr>
        <w:t>          </w:t>
      </w:r>
      <w:r w:rsidRPr="005C1D8F">
        <w:rPr>
          <w:rFonts w:ascii="Arial" w:hAnsi="Arial" w:cs="Arial"/>
          <w:sz w:val="20"/>
          <w:szCs w:val="20"/>
        </w:rPr>
        <w:t>Se </w:t>
      </w:r>
      <w:r w:rsidRPr="005C1D8F">
        <w:rPr>
          <w:rFonts w:ascii="Arial" w:hAnsi="Arial" w:cs="Arial"/>
          <w:b/>
          <w:bCs/>
          <w:sz w:val="20"/>
          <w:szCs w:val="20"/>
        </w:rPr>
        <w:t>revoca </w:t>
      </w:r>
      <w:r w:rsidRPr="005C1D8F">
        <w:rPr>
          <w:rFonts w:ascii="Arial" w:hAnsi="Arial" w:cs="Arial"/>
          <w:sz w:val="20"/>
          <w:szCs w:val="20"/>
        </w:rPr>
        <w:t>la</w:t>
      </w:r>
      <w:r w:rsidRPr="005C1D8F">
        <w:rPr>
          <w:rFonts w:ascii="Arial" w:hAnsi="Arial" w:cs="Arial"/>
          <w:b/>
          <w:bCs/>
          <w:sz w:val="20"/>
          <w:szCs w:val="20"/>
        </w:rPr>
        <w:t> </w:t>
      </w:r>
      <w:r w:rsidRPr="005C1D8F">
        <w:rPr>
          <w:rFonts w:ascii="Arial" w:hAnsi="Arial" w:cs="Arial"/>
          <w:sz w:val="20"/>
          <w:szCs w:val="20"/>
        </w:rPr>
        <w:t>resolución emitida por el Tribunal Electoral del Estado de Aguascalientes en el recurso de apelación </w:t>
      </w:r>
      <w:r w:rsidRPr="005C1D8F">
        <w:rPr>
          <w:rFonts w:ascii="Arial" w:hAnsi="Arial" w:cs="Arial"/>
          <w:b/>
          <w:bCs/>
          <w:sz w:val="20"/>
          <w:szCs w:val="20"/>
        </w:rPr>
        <w:t>TEEA-RAP-014/2021 y acumulados</w:t>
      </w:r>
      <w:r w:rsidRPr="005C1D8F">
        <w:rPr>
          <w:rFonts w:ascii="Arial" w:hAnsi="Arial" w:cs="Arial"/>
          <w:sz w:val="20"/>
          <w:szCs w:val="20"/>
        </w:rPr>
        <w:t>.</w:t>
      </w:r>
    </w:p>
    <w:p w14:paraId="382F248D" w14:textId="435EDB45" w:rsidR="002754A0" w:rsidRPr="005C1D8F" w:rsidRDefault="002754A0" w:rsidP="00200C73">
      <w:pPr>
        <w:pStyle w:val="NormalWeb"/>
        <w:shd w:val="clear" w:color="auto" w:fill="FFFFFF"/>
        <w:spacing w:before="0" w:beforeAutospacing="0" w:after="0" w:afterAutospacing="0"/>
        <w:ind w:left="1548" w:hanging="720"/>
        <w:jc w:val="both"/>
        <w:rPr>
          <w:rFonts w:ascii="Arial" w:hAnsi="Arial" w:cs="Arial"/>
          <w:sz w:val="20"/>
          <w:szCs w:val="20"/>
        </w:rPr>
      </w:pPr>
      <w:r w:rsidRPr="005C1D8F">
        <w:rPr>
          <w:rFonts w:ascii="Arial" w:hAnsi="Arial" w:cs="Arial"/>
          <w:b/>
          <w:bCs/>
          <w:sz w:val="20"/>
          <w:szCs w:val="20"/>
        </w:rPr>
        <w:t>6.2.</w:t>
      </w:r>
      <w:r w:rsidRPr="005C1D8F">
        <w:rPr>
          <w:sz w:val="10"/>
          <w:szCs w:val="10"/>
        </w:rPr>
        <w:t>           </w:t>
      </w:r>
      <w:r w:rsidRPr="005C1D8F">
        <w:rPr>
          <w:rFonts w:ascii="Arial" w:hAnsi="Arial" w:cs="Arial"/>
          <w:sz w:val="20"/>
          <w:szCs w:val="20"/>
        </w:rPr>
        <w:t>En vía de consecuencia, se </w:t>
      </w:r>
      <w:r w:rsidRPr="005C1D8F">
        <w:rPr>
          <w:rFonts w:ascii="Arial" w:hAnsi="Arial" w:cs="Arial"/>
          <w:b/>
          <w:bCs/>
          <w:sz w:val="20"/>
          <w:szCs w:val="20"/>
        </w:rPr>
        <w:t>revocan</w:t>
      </w:r>
      <w:r w:rsidRPr="005C1D8F">
        <w:rPr>
          <w:rFonts w:ascii="Arial" w:hAnsi="Arial" w:cs="Arial"/>
          <w:sz w:val="20"/>
          <w:szCs w:val="20"/>
        </w:rPr>
        <w:t> las diversas resoluciones </w:t>
      </w:r>
      <w:r w:rsidRPr="005C1D8F">
        <w:rPr>
          <w:rFonts w:ascii="Arial" w:hAnsi="Arial" w:cs="Arial"/>
          <w:b/>
          <w:bCs/>
          <w:sz w:val="20"/>
          <w:szCs w:val="20"/>
        </w:rPr>
        <w:t>CG-R-38/2021, CG-R-39/2021 y CG-R-40/2021</w:t>
      </w:r>
      <w:r w:rsidRPr="005C1D8F">
        <w:rPr>
          <w:rFonts w:ascii="Arial" w:hAnsi="Arial" w:cs="Arial"/>
          <w:sz w:val="20"/>
          <w:szCs w:val="20"/>
        </w:rPr>
        <w:t>, emitidas por el Consejo General del Instituto Estatal Electoral de Aguascalientes.</w:t>
      </w:r>
    </w:p>
    <w:p w14:paraId="290EC65A" w14:textId="7CE2D46E" w:rsidR="00200C73" w:rsidRPr="005C1D8F" w:rsidRDefault="001128D8" w:rsidP="00200C73">
      <w:pPr>
        <w:pStyle w:val="NormalWeb"/>
        <w:shd w:val="clear" w:color="auto" w:fill="FFFFFF"/>
        <w:spacing w:before="0" w:beforeAutospacing="0" w:after="0" w:afterAutospacing="0"/>
        <w:ind w:left="1548" w:hanging="720"/>
        <w:jc w:val="both"/>
        <w:rPr>
          <w:rFonts w:ascii="Arial" w:hAnsi="Arial" w:cs="Arial"/>
          <w:sz w:val="20"/>
          <w:szCs w:val="20"/>
        </w:rPr>
      </w:pPr>
      <w:r w:rsidRPr="005C1D8F">
        <w:rPr>
          <w:rFonts w:ascii="Arial" w:hAnsi="Arial" w:cs="Arial"/>
          <w:b/>
          <w:bCs/>
          <w:sz w:val="20"/>
          <w:szCs w:val="20"/>
        </w:rPr>
        <w:t>[.</w:t>
      </w:r>
      <w:r w:rsidRPr="005C1D8F">
        <w:rPr>
          <w:rFonts w:ascii="Arial" w:hAnsi="Arial" w:cs="Arial"/>
          <w:sz w:val="20"/>
          <w:szCs w:val="20"/>
        </w:rPr>
        <w:t>..]</w:t>
      </w:r>
    </w:p>
    <w:p w14:paraId="1AAB19FB" w14:textId="77777777" w:rsidR="002754A0" w:rsidRPr="005C1D8F" w:rsidRDefault="002754A0" w:rsidP="00200C73">
      <w:pPr>
        <w:pStyle w:val="NormalWeb"/>
        <w:shd w:val="clear" w:color="auto" w:fill="FFFFFF"/>
        <w:spacing w:before="0" w:beforeAutospacing="0" w:after="0" w:afterAutospacing="0"/>
        <w:ind w:left="1548" w:hanging="720"/>
        <w:jc w:val="both"/>
        <w:rPr>
          <w:rFonts w:ascii="Arial" w:hAnsi="Arial" w:cs="Arial"/>
          <w:sz w:val="20"/>
          <w:szCs w:val="20"/>
        </w:rPr>
      </w:pPr>
      <w:r w:rsidRPr="005C1D8F">
        <w:rPr>
          <w:rFonts w:ascii="Arial" w:hAnsi="Arial" w:cs="Arial"/>
          <w:b/>
          <w:bCs/>
          <w:sz w:val="20"/>
          <w:szCs w:val="20"/>
        </w:rPr>
        <w:t>6.4.</w:t>
      </w:r>
      <w:r w:rsidRPr="005C1D8F">
        <w:rPr>
          <w:sz w:val="10"/>
          <w:szCs w:val="10"/>
        </w:rPr>
        <w:t>           </w:t>
      </w:r>
      <w:r w:rsidRPr="005C1D8F">
        <w:rPr>
          <w:rFonts w:ascii="Arial" w:hAnsi="Arial" w:cs="Arial"/>
          <w:b/>
          <w:bCs/>
          <w:sz w:val="20"/>
          <w:szCs w:val="20"/>
        </w:rPr>
        <w:t>Se declaran improcedentes </w:t>
      </w:r>
      <w:r w:rsidRPr="005C1D8F">
        <w:rPr>
          <w:rFonts w:ascii="Arial" w:hAnsi="Arial" w:cs="Arial"/>
          <w:sz w:val="20"/>
          <w:szCs w:val="20"/>
        </w:rPr>
        <w:t>los registros de:</w:t>
      </w:r>
    </w:p>
    <w:p w14:paraId="3110649D" w14:textId="77777777" w:rsidR="002754A0" w:rsidRPr="005C1D8F" w:rsidRDefault="002754A0" w:rsidP="00200C73">
      <w:pPr>
        <w:pStyle w:val="NormalWeb"/>
        <w:shd w:val="clear" w:color="auto" w:fill="FFFFFF"/>
        <w:spacing w:before="0" w:beforeAutospacing="0" w:after="0" w:afterAutospacing="0"/>
        <w:ind w:left="2257" w:hanging="720"/>
        <w:jc w:val="both"/>
        <w:rPr>
          <w:rFonts w:ascii="Arial" w:hAnsi="Arial" w:cs="Arial"/>
          <w:sz w:val="20"/>
          <w:szCs w:val="20"/>
        </w:rPr>
      </w:pPr>
      <w:r w:rsidRPr="005C1D8F">
        <w:rPr>
          <w:rFonts w:ascii="Arial" w:hAnsi="Arial" w:cs="Arial"/>
          <w:b/>
          <w:bCs/>
          <w:sz w:val="20"/>
          <w:szCs w:val="20"/>
        </w:rPr>
        <w:t>6.4.1.</w:t>
      </w:r>
      <w:r w:rsidRPr="005C1D8F">
        <w:rPr>
          <w:sz w:val="10"/>
          <w:szCs w:val="10"/>
        </w:rPr>
        <w:t>    </w:t>
      </w:r>
      <w:r w:rsidRPr="005C1D8F">
        <w:rPr>
          <w:rFonts w:ascii="Arial" w:hAnsi="Arial" w:cs="Arial"/>
          <w:b/>
          <w:bCs/>
          <w:sz w:val="20"/>
          <w:szCs w:val="20"/>
        </w:rPr>
        <w:t>Patricia García </w:t>
      </w:r>
      <w:proofErr w:type="spellStart"/>
      <w:r w:rsidRPr="005C1D8F">
        <w:rPr>
          <w:rFonts w:ascii="Arial" w:hAnsi="Arial" w:cs="Arial"/>
          <w:b/>
          <w:bCs/>
          <w:sz w:val="20"/>
          <w:szCs w:val="20"/>
        </w:rPr>
        <w:t>García</w:t>
      </w:r>
      <w:proofErr w:type="spellEnd"/>
      <w:r w:rsidRPr="005C1D8F">
        <w:rPr>
          <w:rFonts w:ascii="Arial" w:hAnsi="Arial" w:cs="Arial"/>
          <w:sz w:val="20"/>
          <w:szCs w:val="20"/>
        </w:rPr>
        <w:t>, como candidata a diputada local propietaria por el Distrito Electoral XV, postulada por la Coalición denominada “Por Aguascalientes”.</w:t>
      </w:r>
    </w:p>
    <w:p w14:paraId="5CF097E0" w14:textId="77777777" w:rsidR="002754A0" w:rsidRPr="005C1D8F" w:rsidRDefault="002754A0" w:rsidP="00200C73">
      <w:pPr>
        <w:pStyle w:val="NormalWeb"/>
        <w:shd w:val="clear" w:color="auto" w:fill="FFFFFF"/>
        <w:spacing w:before="0" w:beforeAutospacing="0" w:after="0" w:afterAutospacing="0"/>
        <w:ind w:left="2257" w:hanging="720"/>
        <w:jc w:val="both"/>
        <w:rPr>
          <w:rFonts w:ascii="Arial" w:hAnsi="Arial" w:cs="Arial"/>
          <w:sz w:val="20"/>
          <w:szCs w:val="20"/>
        </w:rPr>
      </w:pPr>
      <w:r w:rsidRPr="005C1D8F">
        <w:rPr>
          <w:rFonts w:ascii="Arial" w:hAnsi="Arial" w:cs="Arial"/>
          <w:b/>
          <w:bCs/>
          <w:sz w:val="20"/>
          <w:szCs w:val="20"/>
        </w:rPr>
        <w:t>6.4.2.</w:t>
      </w:r>
      <w:r w:rsidRPr="005C1D8F">
        <w:rPr>
          <w:sz w:val="10"/>
          <w:szCs w:val="10"/>
        </w:rPr>
        <w:t>    </w:t>
      </w:r>
      <w:r w:rsidRPr="005C1D8F">
        <w:rPr>
          <w:rFonts w:ascii="Arial" w:hAnsi="Arial" w:cs="Arial"/>
          <w:b/>
          <w:bCs/>
          <w:sz w:val="20"/>
          <w:szCs w:val="20"/>
        </w:rPr>
        <w:t>Luis Enrique García López</w:t>
      </w:r>
      <w:r w:rsidRPr="005C1D8F">
        <w:rPr>
          <w:rFonts w:ascii="Arial" w:hAnsi="Arial" w:cs="Arial"/>
          <w:sz w:val="20"/>
          <w:szCs w:val="20"/>
        </w:rPr>
        <w:t>, como candidato a diputado local propietario por el Distrito Electoral XVII, postulado por la coalición denominada “Por Aguascalientes”.</w:t>
      </w:r>
    </w:p>
    <w:p w14:paraId="14FF5919" w14:textId="77777777" w:rsidR="002754A0" w:rsidRPr="005C1D8F" w:rsidRDefault="002754A0" w:rsidP="00200C73">
      <w:pPr>
        <w:pStyle w:val="NormalWeb"/>
        <w:shd w:val="clear" w:color="auto" w:fill="FFFFFF"/>
        <w:spacing w:before="0" w:beforeAutospacing="0" w:after="0" w:afterAutospacing="0"/>
        <w:ind w:left="2257" w:hanging="720"/>
        <w:jc w:val="both"/>
        <w:rPr>
          <w:rFonts w:ascii="Arial" w:hAnsi="Arial" w:cs="Arial"/>
          <w:sz w:val="20"/>
          <w:szCs w:val="20"/>
        </w:rPr>
      </w:pPr>
      <w:r w:rsidRPr="005C1D8F">
        <w:rPr>
          <w:rFonts w:ascii="Arial" w:hAnsi="Arial" w:cs="Arial"/>
          <w:b/>
          <w:bCs/>
          <w:sz w:val="20"/>
          <w:szCs w:val="20"/>
        </w:rPr>
        <w:t>6.4.3.</w:t>
      </w:r>
      <w:r w:rsidRPr="005C1D8F">
        <w:rPr>
          <w:sz w:val="10"/>
          <w:szCs w:val="10"/>
        </w:rPr>
        <w:t>    </w:t>
      </w:r>
      <w:r w:rsidRPr="005C1D8F">
        <w:rPr>
          <w:rFonts w:ascii="Arial" w:hAnsi="Arial" w:cs="Arial"/>
          <w:b/>
          <w:bCs/>
          <w:sz w:val="20"/>
          <w:szCs w:val="20"/>
        </w:rPr>
        <w:t>Gladys Adriana Ramírez Aguilar</w:t>
      </w:r>
      <w:r w:rsidRPr="005C1D8F">
        <w:rPr>
          <w:rFonts w:ascii="Arial" w:hAnsi="Arial" w:cs="Arial"/>
          <w:sz w:val="20"/>
          <w:szCs w:val="20"/>
        </w:rPr>
        <w:t>, como candidata a diputada local propietaria</w:t>
      </w:r>
      <w:r w:rsidRPr="005C1D8F">
        <w:rPr>
          <w:rFonts w:ascii="Arial" w:hAnsi="Arial" w:cs="Arial"/>
          <w:b/>
          <w:bCs/>
          <w:sz w:val="20"/>
          <w:szCs w:val="20"/>
        </w:rPr>
        <w:t> </w:t>
      </w:r>
      <w:r w:rsidRPr="005C1D8F">
        <w:rPr>
          <w:rFonts w:ascii="Arial" w:hAnsi="Arial" w:cs="Arial"/>
          <w:sz w:val="20"/>
          <w:szCs w:val="20"/>
        </w:rPr>
        <w:t>por el Distrito Electoral XI, postulada por la Coalición denominada “Por Aguascalientes”.</w:t>
      </w:r>
    </w:p>
    <w:p w14:paraId="2309DD10" w14:textId="77777777" w:rsidR="002754A0" w:rsidRPr="005C1D8F" w:rsidRDefault="002754A0" w:rsidP="00200C73">
      <w:pPr>
        <w:pStyle w:val="NormalWeb"/>
        <w:shd w:val="clear" w:color="auto" w:fill="FFFFFF"/>
        <w:spacing w:before="0" w:beforeAutospacing="0" w:after="0" w:afterAutospacing="0"/>
        <w:ind w:left="1548" w:hanging="720"/>
        <w:jc w:val="both"/>
        <w:rPr>
          <w:rFonts w:ascii="Arial" w:hAnsi="Arial" w:cs="Arial"/>
          <w:sz w:val="20"/>
          <w:szCs w:val="20"/>
        </w:rPr>
      </w:pPr>
      <w:r w:rsidRPr="005C1D8F">
        <w:rPr>
          <w:rFonts w:ascii="Arial" w:hAnsi="Arial" w:cs="Arial"/>
          <w:b/>
          <w:bCs/>
          <w:sz w:val="20"/>
          <w:szCs w:val="20"/>
        </w:rPr>
        <w:t>6.5.</w:t>
      </w:r>
      <w:r w:rsidRPr="005C1D8F">
        <w:rPr>
          <w:sz w:val="10"/>
          <w:szCs w:val="10"/>
        </w:rPr>
        <w:t>           </w:t>
      </w:r>
      <w:bookmarkStart w:id="12" w:name="_Hlk71783428"/>
      <w:r w:rsidRPr="005C1D8F">
        <w:rPr>
          <w:rFonts w:ascii="Arial" w:hAnsi="Arial" w:cs="Arial"/>
          <w:b/>
          <w:bCs/>
          <w:sz w:val="20"/>
          <w:szCs w:val="20"/>
        </w:rPr>
        <w:t>Se ordena a los Consejos Distritales Electorales XI, XV y XVII</w:t>
      </w:r>
      <w:r w:rsidRPr="005C1D8F">
        <w:rPr>
          <w:rFonts w:ascii="Arial" w:hAnsi="Arial" w:cs="Arial"/>
          <w:sz w:val="20"/>
          <w:szCs w:val="20"/>
        </w:rPr>
        <w:t> del Instituto Estatal Electoral de Aguascalientes, que en el plazo de </w:t>
      </w:r>
      <w:r w:rsidRPr="005C1D8F">
        <w:rPr>
          <w:rFonts w:ascii="Arial" w:hAnsi="Arial" w:cs="Arial"/>
          <w:b/>
          <w:bCs/>
          <w:sz w:val="20"/>
          <w:szCs w:val="20"/>
        </w:rPr>
        <w:t>veinticuatro horas</w:t>
      </w:r>
      <w:r w:rsidRPr="005C1D8F">
        <w:rPr>
          <w:rFonts w:ascii="Arial" w:hAnsi="Arial" w:cs="Arial"/>
          <w:sz w:val="20"/>
          <w:szCs w:val="20"/>
        </w:rPr>
        <w:t>, contadas a partir de la notificación de este fallo, </w:t>
      </w:r>
      <w:r w:rsidRPr="005C1D8F">
        <w:rPr>
          <w:rFonts w:ascii="Arial" w:hAnsi="Arial" w:cs="Arial"/>
          <w:b/>
          <w:bCs/>
          <w:sz w:val="20"/>
          <w:szCs w:val="20"/>
        </w:rPr>
        <w:t>requieran</w:t>
      </w:r>
      <w:r w:rsidRPr="005C1D8F">
        <w:rPr>
          <w:rFonts w:ascii="Arial" w:hAnsi="Arial" w:cs="Arial"/>
          <w:sz w:val="20"/>
          <w:szCs w:val="20"/>
        </w:rPr>
        <w:t> a la Coalición denominada “Por Aguascalientes” y al Partido Acción Nacional, para que en el plazo de </w:t>
      </w:r>
      <w:r w:rsidRPr="005C1D8F">
        <w:rPr>
          <w:rFonts w:ascii="Arial" w:hAnsi="Arial" w:cs="Arial"/>
          <w:b/>
          <w:bCs/>
          <w:sz w:val="20"/>
          <w:szCs w:val="20"/>
        </w:rPr>
        <w:t>cuarenta y ocho horas siguientes</w:t>
      </w:r>
      <w:r w:rsidRPr="005C1D8F">
        <w:rPr>
          <w:rFonts w:ascii="Arial" w:hAnsi="Arial" w:cs="Arial"/>
          <w:sz w:val="20"/>
          <w:szCs w:val="20"/>
        </w:rPr>
        <w:t> a su notificación, procedan a realizar la </w:t>
      </w:r>
      <w:r w:rsidRPr="005C1D8F">
        <w:rPr>
          <w:rFonts w:ascii="Arial" w:hAnsi="Arial" w:cs="Arial"/>
          <w:b/>
          <w:bCs/>
          <w:sz w:val="20"/>
          <w:szCs w:val="20"/>
        </w:rPr>
        <w:t>sustitución </w:t>
      </w:r>
      <w:r w:rsidRPr="005C1D8F">
        <w:rPr>
          <w:rFonts w:ascii="Arial" w:hAnsi="Arial" w:cs="Arial"/>
          <w:sz w:val="20"/>
          <w:szCs w:val="20"/>
        </w:rPr>
        <w:t>de las citadas candidaturas propietarias de las fórmulas que postularon en los Distritos Electorales XI, XV y XVII.</w:t>
      </w:r>
      <w:bookmarkEnd w:id="12"/>
    </w:p>
    <w:p w14:paraId="4C728581" w14:textId="55F2A239" w:rsidR="002754A0" w:rsidRPr="005C1D8F" w:rsidRDefault="002754A0" w:rsidP="00F2214E">
      <w:pPr>
        <w:pStyle w:val="NormalWeb"/>
        <w:shd w:val="clear" w:color="auto" w:fill="FFFFFF"/>
        <w:spacing w:before="0" w:beforeAutospacing="0" w:after="0" w:afterAutospacing="0"/>
        <w:ind w:left="1548" w:hanging="720"/>
        <w:jc w:val="both"/>
        <w:rPr>
          <w:rFonts w:ascii="Arial" w:hAnsi="Arial" w:cs="Arial"/>
          <w:sz w:val="20"/>
          <w:szCs w:val="20"/>
        </w:rPr>
      </w:pPr>
      <w:r w:rsidRPr="005C1D8F">
        <w:rPr>
          <w:rFonts w:ascii="Arial" w:hAnsi="Arial" w:cs="Arial"/>
          <w:b/>
          <w:bCs/>
          <w:sz w:val="20"/>
          <w:szCs w:val="20"/>
        </w:rPr>
        <w:t>6.6.</w:t>
      </w:r>
      <w:r w:rsidRPr="005C1D8F">
        <w:rPr>
          <w:sz w:val="10"/>
          <w:szCs w:val="10"/>
        </w:rPr>
        <w:t>           </w:t>
      </w:r>
      <w:r w:rsidRPr="005C1D8F">
        <w:rPr>
          <w:rFonts w:ascii="Arial" w:hAnsi="Arial" w:cs="Arial"/>
          <w:b/>
          <w:bCs/>
          <w:sz w:val="20"/>
          <w:szCs w:val="20"/>
        </w:rPr>
        <w:t>Se ordena a los Consejos Distritales Electorales XI, XV y XVII</w:t>
      </w:r>
      <w:r w:rsidRPr="005C1D8F">
        <w:rPr>
          <w:rFonts w:ascii="Arial" w:hAnsi="Arial" w:cs="Arial"/>
          <w:sz w:val="20"/>
          <w:szCs w:val="20"/>
        </w:rPr>
        <w:t xml:space="preserve"> del Instituto Estatal Electoral de Aguascalientes, </w:t>
      </w:r>
      <w:proofErr w:type="gramStart"/>
      <w:r w:rsidRPr="005C1D8F">
        <w:rPr>
          <w:rFonts w:ascii="Arial" w:hAnsi="Arial" w:cs="Arial"/>
          <w:sz w:val="20"/>
          <w:szCs w:val="20"/>
        </w:rPr>
        <w:t>que</w:t>
      </w:r>
      <w:proofErr w:type="gramEnd"/>
      <w:r w:rsidRPr="005C1D8F">
        <w:rPr>
          <w:rFonts w:ascii="Arial" w:hAnsi="Arial" w:cs="Arial"/>
          <w:sz w:val="20"/>
          <w:szCs w:val="20"/>
        </w:rPr>
        <w:t xml:space="preserve"> en el plazo de </w:t>
      </w:r>
      <w:r w:rsidRPr="005C1D8F">
        <w:rPr>
          <w:rFonts w:ascii="Arial" w:hAnsi="Arial" w:cs="Arial"/>
          <w:b/>
          <w:bCs/>
          <w:sz w:val="20"/>
          <w:szCs w:val="20"/>
        </w:rPr>
        <w:t>veinticuatro horas </w:t>
      </w:r>
      <w:r w:rsidRPr="005C1D8F">
        <w:rPr>
          <w:rFonts w:ascii="Arial" w:hAnsi="Arial" w:cs="Arial"/>
          <w:sz w:val="20"/>
          <w:szCs w:val="20"/>
        </w:rPr>
        <w:t>posteriores a la presentación de las nuevas candidaturas, con libertad de jurisdicción, procedan a analizar de manera fundada y motivada el cumplimiento de los requisitos constitucionales y legales para su registro y emitan las determinaciones que en Derecho correspondan.</w:t>
      </w:r>
    </w:p>
    <w:p w14:paraId="03064A90" w14:textId="77777777" w:rsidR="00430FC2" w:rsidRDefault="00430FC2" w:rsidP="00200C73">
      <w:pPr>
        <w:pStyle w:val="NormalWeb"/>
        <w:shd w:val="clear" w:color="auto" w:fill="FFFFFF"/>
        <w:spacing w:before="0" w:beforeAutospacing="0" w:after="0" w:afterAutospacing="0"/>
        <w:ind w:left="414"/>
        <w:jc w:val="both"/>
        <w:rPr>
          <w:rFonts w:ascii="Arial" w:hAnsi="Arial" w:cs="Arial"/>
          <w:sz w:val="20"/>
          <w:szCs w:val="20"/>
        </w:rPr>
      </w:pPr>
    </w:p>
    <w:p w14:paraId="607885C5" w14:textId="236718B5" w:rsidR="002754A0" w:rsidRDefault="002754A0" w:rsidP="00430FC2">
      <w:pPr>
        <w:pStyle w:val="NormalWeb"/>
        <w:shd w:val="clear" w:color="auto" w:fill="FFFFFF"/>
        <w:spacing w:before="0" w:beforeAutospacing="0" w:after="0" w:afterAutospacing="0"/>
        <w:ind w:left="1548"/>
        <w:jc w:val="both"/>
        <w:rPr>
          <w:rFonts w:ascii="Arial" w:hAnsi="Arial" w:cs="Arial"/>
          <w:sz w:val="20"/>
          <w:szCs w:val="20"/>
        </w:rPr>
      </w:pPr>
      <w:r w:rsidRPr="005C1D8F">
        <w:rPr>
          <w:rFonts w:ascii="Arial" w:hAnsi="Arial" w:cs="Arial"/>
          <w:sz w:val="20"/>
          <w:szCs w:val="20"/>
        </w:rPr>
        <w:lastRenderedPageBreak/>
        <w:t>Una vez que los Consejos Distritales Electorales XI, XV y XVII del Instituto Estatal Electoral de Aguascalientes</w:t>
      </w:r>
      <w:r w:rsidRPr="005C1D8F">
        <w:rPr>
          <w:rFonts w:ascii="Arial" w:hAnsi="Arial" w:cs="Arial"/>
          <w:i/>
          <w:iCs/>
          <w:sz w:val="20"/>
          <w:szCs w:val="20"/>
        </w:rPr>
        <w:t> </w:t>
      </w:r>
      <w:r w:rsidRPr="005C1D8F">
        <w:rPr>
          <w:rFonts w:ascii="Arial" w:hAnsi="Arial" w:cs="Arial"/>
          <w:sz w:val="20"/>
          <w:szCs w:val="20"/>
        </w:rPr>
        <w:t>lleven a cabo las actuaciones precisadas, deberán informar lo conducente a esta Sala Regional, en un plazo de veinticuatro horas posteriores a que ello ocurra, primero, a través de la cuenta de correo electrónico </w:t>
      </w:r>
      <w:r w:rsidRPr="005C1D8F">
        <w:rPr>
          <w:rFonts w:ascii="Arial" w:hAnsi="Arial" w:cs="Arial"/>
          <w:i/>
          <w:iCs/>
          <w:sz w:val="20"/>
          <w:szCs w:val="20"/>
        </w:rPr>
        <w:t>cumplimientos.salamonterrey@te.gob.mx</w:t>
      </w:r>
      <w:r w:rsidRPr="005C1D8F">
        <w:rPr>
          <w:rFonts w:ascii="Arial" w:hAnsi="Arial" w:cs="Arial"/>
          <w:sz w:val="20"/>
          <w:szCs w:val="20"/>
        </w:rPr>
        <w:t>; luego por la vía más rápida.</w:t>
      </w:r>
    </w:p>
    <w:p w14:paraId="452B998B" w14:textId="77777777" w:rsidR="00430FC2" w:rsidRPr="005C1D8F" w:rsidRDefault="00430FC2" w:rsidP="00430FC2">
      <w:pPr>
        <w:pStyle w:val="NormalWeb"/>
        <w:shd w:val="clear" w:color="auto" w:fill="FFFFFF"/>
        <w:spacing w:before="0" w:beforeAutospacing="0" w:after="0" w:afterAutospacing="0"/>
        <w:ind w:left="1548"/>
        <w:jc w:val="both"/>
        <w:rPr>
          <w:rFonts w:ascii="Arial" w:hAnsi="Arial" w:cs="Arial"/>
          <w:sz w:val="20"/>
          <w:szCs w:val="20"/>
        </w:rPr>
      </w:pPr>
    </w:p>
    <w:p w14:paraId="0AB0C397" w14:textId="06EBDC7B" w:rsidR="002754A0" w:rsidRDefault="002754A0" w:rsidP="00430FC2">
      <w:pPr>
        <w:pStyle w:val="NormalWeb"/>
        <w:shd w:val="clear" w:color="auto" w:fill="FFFFFF"/>
        <w:spacing w:before="0" w:beforeAutospacing="0" w:after="0" w:afterAutospacing="0"/>
        <w:ind w:left="1548"/>
        <w:jc w:val="both"/>
        <w:rPr>
          <w:rFonts w:ascii="Arial" w:hAnsi="Arial" w:cs="Arial"/>
          <w:sz w:val="20"/>
          <w:szCs w:val="20"/>
        </w:rPr>
      </w:pPr>
      <w:r w:rsidRPr="005C1D8F">
        <w:rPr>
          <w:rFonts w:ascii="Arial" w:hAnsi="Arial" w:cs="Arial"/>
          <w:sz w:val="20"/>
          <w:szCs w:val="20"/>
        </w:rPr>
        <w:t>Con el apercibimiento que, de no dar cumplimiento a esta orden, se les podrá imponer alguna de las medidas de apremio previstas en el artículo 32 de la </w:t>
      </w:r>
      <w:r w:rsidRPr="005C1D8F">
        <w:rPr>
          <w:rFonts w:ascii="Arial" w:hAnsi="Arial" w:cs="Arial"/>
          <w:i/>
          <w:iCs/>
          <w:sz w:val="20"/>
          <w:szCs w:val="20"/>
        </w:rPr>
        <w:t>Ley de Medios</w:t>
      </w:r>
      <w:r w:rsidRPr="005C1D8F">
        <w:rPr>
          <w:rFonts w:ascii="Arial" w:hAnsi="Arial" w:cs="Arial"/>
          <w:sz w:val="20"/>
          <w:szCs w:val="20"/>
        </w:rPr>
        <w:t>.</w:t>
      </w:r>
    </w:p>
    <w:p w14:paraId="2176198D" w14:textId="77777777" w:rsidR="00752502" w:rsidRPr="005C1D8F" w:rsidRDefault="00752502" w:rsidP="00430FC2">
      <w:pPr>
        <w:pStyle w:val="NormalWeb"/>
        <w:shd w:val="clear" w:color="auto" w:fill="FFFFFF"/>
        <w:spacing w:before="0" w:beforeAutospacing="0" w:after="0" w:afterAutospacing="0"/>
        <w:ind w:left="1548"/>
        <w:jc w:val="both"/>
        <w:rPr>
          <w:rFonts w:ascii="Arial" w:hAnsi="Arial" w:cs="Arial"/>
        </w:rPr>
      </w:pPr>
    </w:p>
    <w:p w14:paraId="5A568163" w14:textId="4F898E1F" w:rsidR="004B3BC6" w:rsidRDefault="007E365A" w:rsidP="00E65D99">
      <w:pPr>
        <w:spacing w:line="360" w:lineRule="auto"/>
        <w:jc w:val="both"/>
        <w:rPr>
          <w:rFonts w:ascii="Arial" w:eastAsia="Arial" w:hAnsi="Arial" w:cs="Arial"/>
          <w:sz w:val="22"/>
          <w:szCs w:val="22"/>
        </w:rPr>
      </w:pPr>
      <w:r>
        <w:rPr>
          <w:rFonts w:ascii="Arial" w:eastAsia="Arial" w:hAnsi="Arial" w:cs="Arial"/>
          <w:sz w:val="22"/>
          <w:szCs w:val="22"/>
        </w:rPr>
        <w:t>S</w:t>
      </w:r>
      <w:r w:rsidR="001128D8">
        <w:rPr>
          <w:rFonts w:ascii="Arial" w:eastAsia="Arial" w:hAnsi="Arial" w:cs="Arial"/>
          <w:sz w:val="22"/>
          <w:szCs w:val="22"/>
        </w:rPr>
        <w:t>i bien es cierto que los efectos vinculaban únicamente a las sustituciones en los distritos XI, XV y XVII, también lo es que</w:t>
      </w:r>
      <w:r>
        <w:rPr>
          <w:rFonts w:ascii="Arial" w:eastAsia="Arial" w:hAnsi="Arial" w:cs="Arial"/>
          <w:sz w:val="22"/>
          <w:szCs w:val="22"/>
        </w:rPr>
        <w:t>,</w:t>
      </w:r>
      <w:r w:rsidR="001128D8">
        <w:rPr>
          <w:rFonts w:ascii="Arial" w:eastAsia="Arial" w:hAnsi="Arial" w:cs="Arial"/>
          <w:sz w:val="22"/>
          <w:szCs w:val="22"/>
        </w:rPr>
        <w:t xml:space="preserve"> </w:t>
      </w:r>
      <w:r>
        <w:rPr>
          <w:rFonts w:ascii="Arial" w:eastAsia="Arial" w:hAnsi="Arial" w:cs="Arial"/>
          <w:sz w:val="22"/>
          <w:szCs w:val="22"/>
        </w:rPr>
        <w:t>el</w:t>
      </w:r>
      <w:r w:rsidR="001128D8">
        <w:rPr>
          <w:rFonts w:ascii="Arial" w:eastAsia="Arial" w:hAnsi="Arial" w:cs="Arial"/>
          <w:sz w:val="22"/>
          <w:szCs w:val="22"/>
        </w:rPr>
        <w:t xml:space="preserve"> </w:t>
      </w:r>
      <w:r w:rsidR="008E14CC">
        <w:rPr>
          <w:rFonts w:ascii="Arial" w:eastAsia="Arial" w:hAnsi="Arial" w:cs="Arial"/>
          <w:sz w:val="22"/>
          <w:szCs w:val="22"/>
        </w:rPr>
        <w:t>partido político</w:t>
      </w:r>
      <w:r w:rsidR="001128D8">
        <w:rPr>
          <w:rFonts w:ascii="Arial" w:eastAsia="Arial" w:hAnsi="Arial" w:cs="Arial"/>
          <w:sz w:val="22"/>
          <w:szCs w:val="22"/>
        </w:rPr>
        <w:t xml:space="preserve"> no se encontraba impedido para realizar las sustituciones de las candidaturas en las cuales</w:t>
      </w:r>
      <w:r w:rsidR="00D2322A">
        <w:rPr>
          <w:rFonts w:ascii="Arial" w:eastAsia="Arial" w:hAnsi="Arial" w:cs="Arial"/>
          <w:sz w:val="22"/>
          <w:szCs w:val="22"/>
        </w:rPr>
        <w:t xml:space="preserve"> se renunciaran a ellas, de acuerdo con la temporalidad exigida por la normativa electoral</w:t>
      </w:r>
      <w:r w:rsidR="001128D8">
        <w:rPr>
          <w:rFonts w:ascii="Arial" w:eastAsia="Arial" w:hAnsi="Arial" w:cs="Arial"/>
          <w:sz w:val="22"/>
          <w:szCs w:val="22"/>
        </w:rPr>
        <w:t>.</w:t>
      </w:r>
    </w:p>
    <w:p w14:paraId="138E680E" w14:textId="593A8E57" w:rsidR="00B61C77" w:rsidRDefault="00B61C77" w:rsidP="00E65D99">
      <w:pPr>
        <w:spacing w:line="360" w:lineRule="auto"/>
        <w:jc w:val="both"/>
        <w:rPr>
          <w:rFonts w:ascii="Arial" w:eastAsia="Arial" w:hAnsi="Arial" w:cs="Arial"/>
          <w:sz w:val="22"/>
          <w:szCs w:val="22"/>
        </w:rPr>
      </w:pPr>
    </w:p>
    <w:p w14:paraId="367394B8" w14:textId="6C140CA3" w:rsidR="00B61C77" w:rsidRDefault="00B61C77" w:rsidP="00E65D99">
      <w:pPr>
        <w:spacing w:line="360" w:lineRule="auto"/>
        <w:jc w:val="both"/>
        <w:rPr>
          <w:rFonts w:ascii="Arial" w:eastAsia="Arial" w:hAnsi="Arial" w:cs="Arial"/>
          <w:sz w:val="22"/>
          <w:szCs w:val="22"/>
        </w:rPr>
      </w:pPr>
      <w:r>
        <w:rPr>
          <w:rFonts w:ascii="Arial" w:eastAsia="Arial" w:hAnsi="Arial" w:cs="Arial"/>
          <w:sz w:val="22"/>
          <w:szCs w:val="22"/>
        </w:rPr>
        <w:t xml:space="preserve">Esto es así, pues las solicitudes de sustitución de candidaturas, se inscriben en el marco del ejercicio del derecho constitucional de los partidos políticos a la libre </w:t>
      </w:r>
      <w:r w:rsidR="00DA18CD">
        <w:rPr>
          <w:rFonts w:ascii="Arial" w:eastAsia="Arial" w:hAnsi="Arial" w:cs="Arial"/>
          <w:sz w:val="22"/>
          <w:szCs w:val="22"/>
        </w:rPr>
        <w:t>autodeterminación</w:t>
      </w:r>
      <w:r>
        <w:rPr>
          <w:rFonts w:ascii="Arial" w:eastAsia="Arial" w:hAnsi="Arial" w:cs="Arial"/>
          <w:sz w:val="22"/>
          <w:szCs w:val="22"/>
        </w:rPr>
        <w:t xml:space="preserve"> y autoorganización, derivado de una </w:t>
      </w:r>
      <w:r w:rsidR="00DA18CD">
        <w:rPr>
          <w:rFonts w:ascii="Arial" w:eastAsia="Arial" w:hAnsi="Arial" w:cs="Arial"/>
          <w:sz w:val="22"/>
          <w:szCs w:val="22"/>
        </w:rPr>
        <w:t>situación</w:t>
      </w:r>
      <w:r>
        <w:rPr>
          <w:rFonts w:ascii="Arial" w:eastAsia="Arial" w:hAnsi="Arial" w:cs="Arial"/>
          <w:sz w:val="22"/>
          <w:szCs w:val="22"/>
        </w:rPr>
        <w:t xml:space="preserve"> </w:t>
      </w:r>
      <w:r w:rsidR="00DA18CD">
        <w:rPr>
          <w:rFonts w:ascii="Arial" w:eastAsia="Arial" w:hAnsi="Arial" w:cs="Arial"/>
          <w:sz w:val="22"/>
          <w:szCs w:val="22"/>
        </w:rPr>
        <w:t>extraordinaria</w:t>
      </w:r>
      <w:r>
        <w:rPr>
          <w:rFonts w:ascii="Arial" w:eastAsia="Arial" w:hAnsi="Arial" w:cs="Arial"/>
          <w:sz w:val="22"/>
          <w:szCs w:val="22"/>
        </w:rPr>
        <w:t>, como lo es la renuncia de los candidatos a diputados propietario y suplente por el distrito XIV</w:t>
      </w:r>
      <w:r w:rsidR="00DA18CD">
        <w:rPr>
          <w:rFonts w:ascii="Arial" w:eastAsia="Arial" w:hAnsi="Arial" w:cs="Arial"/>
          <w:sz w:val="22"/>
          <w:szCs w:val="22"/>
        </w:rPr>
        <w:t xml:space="preserve">, originalmente propuestos. </w:t>
      </w:r>
    </w:p>
    <w:p w14:paraId="4EFB0AA8" w14:textId="0FD4ABDF" w:rsidR="00430FC2" w:rsidRDefault="00430FC2" w:rsidP="00E65D99">
      <w:pPr>
        <w:spacing w:line="360" w:lineRule="auto"/>
        <w:jc w:val="both"/>
        <w:rPr>
          <w:rFonts w:ascii="Arial" w:eastAsia="Arial" w:hAnsi="Arial" w:cs="Arial"/>
          <w:sz w:val="22"/>
          <w:szCs w:val="22"/>
        </w:rPr>
      </w:pPr>
    </w:p>
    <w:p w14:paraId="3FF22FC8" w14:textId="4491EAC0" w:rsidR="007F6DC5" w:rsidRDefault="007F6DC5" w:rsidP="00E65D99">
      <w:pPr>
        <w:spacing w:line="360" w:lineRule="auto"/>
        <w:jc w:val="both"/>
        <w:rPr>
          <w:rFonts w:ascii="Arial" w:eastAsia="Arial" w:hAnsi="Arial" w:cs="Arial"/>
          <w:sz w:val="22"/>
          <w:szCs w:val="22"/>
        </w:rPr>
      </w:pPr>
      <w:r>
        <w:rPr>
          <w:rFonts w:ascii="Arial" w:eastAsia="Arial" w:hAnsi="Arial" w:cs="Arial"/>
          <w:sz w:val="22"/>
          <w:szCs w:val="22"/>
        </w:rPr>
        <w:t xml:space="preserve">Se suma que, </w:t>
      </w:r>
      <w:r w:rsidRPr="007F6DC5">
        <w:rPr>
          <w:rFonts w:ascii="Arial" w:eastAsia="Arial" w:hAnsi="Arial" w:cs="Arial"/>
          <w:sz w:val="22"/>
          <w:szCs w:val="22"/>
        </w:rPr>
        <w:t xml:space="preserve">el artículo 41, base I, de la Constitución </w:t>
      </w:r>
      <w:r>
        <w:rPr>
          <w:rFonts w:ascii="Arial" w:eastAsia="Arial" w:hAnsi="Arial" w:cs="Arial"/>
          <w:sz w:val="22"/>
          <w:szCs w:val="22"/>
        </w:rPr>
        <w:t>General</w:t>
      </w:r>
      <w:r w:rsidRPr="007F6DC5">
        <w:rPr>
          <w:rFonts w:ascii="Arial" w:eastAsia="Arial" w:hAnsi="Arial" w:cs="Arial"/>
          <w:sz w:val="22"/>
          <w:szCs w:val="22"/>
        </w:rPr>
        <w:t xml:space="preserve"> establece que las autoridades electorales solamente podrán intervenir en los asuntos internos de los partidos políticos en los términos que señalen la propia Constitución y la ley.</w:t>
      </w:r>
    </w:p>
    <w:p w14:paraId="2CE7A20A" w14:textId="4D402EC0" w:rsidR="007F6DC5" w:rsidRDefault="007F6DC5" w:rsidP="00E65D99">
      <w:pPr>
        <w:spacing w:line="360" w:lineRule="auto"/>
        <w:jc w:val="both"/>
        <w:rPr>
          <w:rFonts w:ascii="Arial" w:eastAsia="Arial" w:hAnsi="Arial" w:cs="Arial"/>
          <w:sz w:val="22"/>
          <w:szCs w:val="22"/>
        </w:rPr>
      </w:pPr>
    </w:p>
    <w:p w14:paraId="324E62C7" w14:textId="1C0E87B7" w:rsidR="007F6DC5" w:rsidRDefault="007F6845" w:rsidP="00E65D99">
      <w:pPr>
        <w:spacing w:line="360" w:lineRule="auto"/>
        <w:jc w:val="both"/>
        <w:rPr>
          <w:rFonts w:ascii="Arial" w:eastAsia="Arial" w:hAnsi="Arial" w:cs="Arial"/>
          <w:sz w:val="22"/>
          <w:szCs w:val="22"/>
        </w:rPr>
      </w:pPr>
      <w:r w:rsidRPr="007F6845">
        <w:rPr>
          <w:rFonts w:ascii="Arial" w:eastAsia="Arial" w:hAnsi="Arial" w:cs="Arial"/>
          <w:sz w:val="22"/>
          <w:szCs w:val="22"/>
        </w:rPr>
        <w:t>De lo anterior se observa que la autoorganización de los partidos políticos es un derecho consagrado constitucionalmente, y que la ley respectiva define con claridad cuáles son los supuestos en los que la autoridad jurisdiccional no podrá intervenir, al tratarse de situaciones que les corresponde definir únicamente a los propios partidos.</w:t>
      </w:r>
    </w:p>
    <w:p w14:paraId="74794208" w14:textId="6AE722D7" w:rsidR="007F6845" w:rsidRDefault="007F6845" w:rsidP="00E65D99">
      <w:pPr>
        <w:spacing w:line="360" w:lineRule="auto"/>
        <w:jc w:val="both"/>
        <w:rPr>
          <w:rFonts w:ascii="Arial" w:eastAsia="Arial" w:hAnsi="Arial" w:cs="Arial"/>
          <w:sz w:val="22"/>
          <w:szCs w:val="22"/>
        </w:rPr>
      </w:pPr>
    </w:p>
    <w:p w14:paraId="40308EB6" w14:textId="0CA434EC" w:rsidR="007F6845" w:rsidRDefault="007F6845" w:rsidP="00E65D99">
      <w:pPr>
        <w:spacing w:line="360" w:lineRule="auto"/>
        <w:jc w:val="both"/>
        <w:rPr>
          <w:rFonts w:ascii="Arial" w:eastAsia="Arial" w:hAnsi="Arial" w:cs="Arial"/>
          <w:sz w:val="22"/>
          <w:szCs w:val="22"/>
        </w:rPr>
      </w:pPr>
      <w:r w:rsidRPr="007F6845">
        <w:rPr>
          <w:rFonts w:ascii="Arial" w:eastAsia="Arial" w:hAnsi="Arial" w:cs="Arial"/>
          <w:sz w:val="22"/>
          <w:szCs w:val="22"/>
        </w:rPr>
        <w:t>Ese derecho de autoorganización ha sido reconocido y tutelado por la Sala Superior al sostener</w:t>
      </w:r>
      <w:r w:rsidR="00D4603E">
        <w:rPr>
          <w:rFonts w:ascii="Arial" w:eastAsia="Arial" w:hAnsi="Arial" w:cs="Arial"/>
          <w:sz w:val="22"/>
          <w:szCs w:val="22"/>
        </w:rPr>
        <w:t>,</w:t>
      </w:r>
      <w:r w:rsidRPr="007F6845">
        <w:rPr>
          <w:rFonts w:ascii="Arial" w:eastAsia="Arial" w:hAnsi="Arial" w:cs="Arial"/>
          <w:sz w:val="22"/>
          <w:szCs w:val="22"/>
        </w:rPr>
        <w:t xml:space="preserve"> que</w:t>
      </w:r>
      <w:r w:rsidR="00CA4DA6">
        <w:rPr>
          <w:rFonts w:ascii="Arial" w:eastAsia="Arial" w:hAnsi="Arial" w:cs="Arial"/>
          <w:sz w:val="22"/>
          <w:szCs w:val="22"/>
        </w:rPr>
        <w:t xml:space="preserve"> es derecho</w:t>
      </w:r>
      <w:r w:rsidRPr="007F6845">
        <w:rPr>
          <w:rFonts w:ascii="Arial" w:eastAsia="Arial" w:hAnsi="Arial" w:cs="Arial"/>
          <w:sz w:val="22"/>
          <w:szCs w:val="22"/>
        </w:rPr>
        <w:t>, como principio de base constitucional implica la facultad auto normativa de establecer su propio régimen regulador de organización al interior de su estructura, con el fin de darle identidad partidaria, y con un propósito de hacer posible la participación política para la consecución de los fines constitucionalmente encomendados.</w:t>
      </w:r>
      <w:r>
        <w:rPr>
          <w:rStyle w:val="Refdenotaalpie"/>
          <w:rFonts w:ascii="Arial" w:eastAsia="Arial" w:hAnsi="Arial" w:cs="Arial"/>
          <w:sz w:val="22"/>
          <w:szCs w:val="22"/>
        </w:rPr>
        <w:footnoteReference w:id="14"/>
      </w:r>
    </w:p>
    <w:p w14:paraId="3DAB3EAB" w14:textId="38DACB6C" w:rsidR="007F6845" w:rsidRDefault="007F6845" w:rsidP="00E65D99">
      <w:pPr>
        <w:spacing w:line="360" w:lineRule="auto"/>
        <w:jc w:val="both"/>
        <w:rPr>
          <w:rFonts w:ascii="Arial" w:eastAsia="Arial" w:hAnsi="Arial" w:cs="Arial"/>
          <w:sz w:val="22"/>
          <w:szCs w:val="22"/>
        </w:rPr>
      </w:pPr>
    </w:p>
    <w:p w14:paraId="3CBAC5C0" w14:textId="27170864" w:rsidR="000D2961" w:rsidRDefault="000D2961" w:rsidP="00E65D99">
      <w:pPr>
        <w:spacing w:line="360" w:lineRule="auto"/>
        <w:jc w:val="both"/>
        <w:rPr>
          <w:rFonts w:ascii="Arial" w:eastAsia="Arial" w:hAnsi="Arial" w:cs="Arial"/>
          <w:sz w:val="22"/>
          <w:szCs w:val="22"/>
        </w:rPr>
      </w:pPr>
      <w:r>
        <w:rPr>
          <w:rFonts w:ascii="Arial" w:eastAsia="Arial" w:hAnsi="Arial" w:cs="Arial"/>
          <w:sz w:val="22"/>
          <w:szCs w:val="22"/>
        </w:rPr>
        <w:t>Luego</w:t>
      </w:r>
      <w:r w:rsidRPr="000D2961">
        <w:rPr>
          <w:rFonts w:ascii="Arial" w:eastAsia="Arial" w:hAnsi="Arial" w:cs="Arial"/>
          <w:sz w:val="22"/>
          <w:szCs w:val="22"/>
        </w:rPr>
        <w:t>, la designación directa de candidatos</w:t>
      </w:r>
      <w:r>
        <w:rPr>
          <w:rFonts w:ascii="Arial" w:eastAsia="Arial" w:hAnsi="Arial" w:cs="Arial"/>
          <w:sz w:val="22"/>
          <w:szCs w:val="22"/>
        </w:rPr>
        <w:t>, así como los plazos abreviados,</w:t>
      </w:r>
      <w:r w:rsidRPr="000D2961">
        <w:rPr>
          <w:rFonts w:ascii="Arial" w:eastAsia="Arial" w:hAnsi="Arial" w:cs="Arial"/>
          <w:sz w:val="22"/>
          <w:szCs w:val="22"/>
        </w:rPr>
        <w:t xml:space="preserve"> </w:t>
      </w:r>
      <w:r>
        <w:rPr>
          <w:rFonts w:ascii="Arial" w:eastAsia="Arial" w:hAnsi="Arial" w:cs="Arial"/>
          <w:sz w:val="22"/>
          <w:szCs w:val="22"/>
        </w:rPr>
        <w:t>son</w:t>
      </w:r>
      <w:r w:rsidRPr="000D2961">
        <w:rPr>
          <w:rFonts w:ascii="Arial" w:eastAsia="Arial" w:hAnsi="Arial" w:cs="Arial"/>
          <w:sz w:val="22"/>
          <w:szCs w:val="22"/>
        </w:rPr>
        <w:t xml:space="preserve"> mecanismo</w:t>
      </w:r>
      <w:r>
        <w:rPr>
          <w:rFonts w:ascii="Arial" w:eastAsia="Arial" w:hAnsi="Arial" w:cs="Arial"/>
          <w:sz w:val="22"/>
          <w:szCs w:val="22"/>
        </w:rPr>
        <w:t>s</w:t>
      </w:r>
      <w:r w:rsidRPr="000D2961">
        <w:rPr>
          <w:rFonts w:ascii="Arial" w:eastAsia="Arial" w:hAnsi="Arial" w:cs="Arial"/>
          <w:sz w:val="22"/>
          <w:szCs w:val="22"/>
        </w:rPr>
        <w:t xml:space="preserve"> reservado</w:t>
      </w:r>
      <w:r>
        <w:rPr>
          <w:rFonts w:ascii="Arial" w:eastAsia="Arial" w:hAnsi="Arial" w:cs="Arial"/>
          <w:sz w:val="22"/>
          <w:szCs w:val="22"/>
        </w:rPr>
        <w:t>s</w:t>
      </w:r>
      <w:r w:rsidRPr="000D2961">
        <w:rPr>
          <w:rFonts w:ascii="Arial" w:eastAsia="Arial" w:hAnsi="Arial" w:cs="Arial"/>
          <w:sz w:val="22"/>
          <w:szCs w:val="22"/>
        </w:rPr>
        <w:t xml:space="preserve"> a los partidos políticos para que, en casos en que se encuentre justificada la necesidad e idoneidad de prescindir de un proceso democrático de selección</w:t>
      </w:r>
      <w:r>
        <w:rPr>
          <w:rFonts w:ascii="Arial" w:eastAsia="Arial" w:hAnsi="Arial" w:cs="Arial"/>
          <w:sz w:val="22"/>
          <w:szCs w:val="22"/>
        </w:rPr>
        <w:t xml:space="preserve">, </w:t>
      </w:r>
      <w:r w:rsidRPr="000D2961">
        <w:rPr>
          <w:rFonts w:ascii="Arial" w:eastAsia="Arial" w:hAnsi="Arial" w:cs="Arial"/>
          <w:sz w:val="22"/>
          <w:szCs w:val="22"/>
        </w:rPr>
        <w:t>se opte por esa alternativa.</w:t>
      </w:r>
    </w:p>
    <w:p w14:paraId="39A9B720" w14:textId="3EE323D6" w:rsidR="00CD1AE3" w:rsidRDefault="00CD1AE3" w:rsidP="00E65D99">
      <w:pPr>
        <w:spacing w:line="360" w:lineRule="auto"/>
        <w:jc w:val="both"/>
        <w:rPr>
          <w:rFonts w:ascii="Arial" w:eastAsia="Arial" w:hAnsi="Arial" w:cs="Arial"/>
          <w:sz w:val="22"/>
          <w:szCs w:val="22"/>
        </w:rPr>
      </w:pPr>
    </w:p>
    <w:p w14:paraId="534A8263" w14:textId="77777777" w:rsidR="00CD1AE3" w:rsidRPr="00391F53" w:rsidRDefault="00CD1AE3" w:rsidP="00CD1AE3">
      <w:pPr>
        <w:spacing w:line="360" w:lineRule="auto"/>
        <w:jc w:val="both"/>
        <w:rPr>
          <w:rFonts w:ascii="Arial" w:hAnsi="Arial" w:cs="Arial"/>
          <w:sz w:val="22"/>
          <w:szCs w:val="22"/>
        </w:rPr>
      </w:pPr>
      <w:r w:rsidRPr="00391F53">
        <w:rPr>
          <w:rFonts w:ascii="Arial" w:hAnsi="Arial" w:cs="Arial"/>
          <w:sz w:val="22"/>
          <w:szCs w:val="22"/>
        </w:rPr>
        <w:t xml:space="preserve">Ahora bien, para el caso del ejercicio del derecho humano a ser votado a través de un partido político, los artículos 232, párrafo 1, de la Ley General de Instituciones y Procedimientos Electorales; artículo 6° del Código Electoral, establecen que corresponde a los partidos políticos el derecho de solicitar el registro de candidatos respectivos ante el IEE, quién será la autoridad encargada de resolver sobre dichas solicitudes. </w:t>
      </w:r>
    </w:p>
    <w:p w14:paraId="6C78EF0C" w14:textId="77777777" w:rsidR="00CD1AE3" w:rsidRPr="00391F53" w:rsidRDefault="00CD1AE3" w:rsidP="00CD1AE3">
      <w:pPr>
        <w:spacing w:line="360" w:lineRule="auto"/>
        <w:jc w:val="both"/>
        <w:rPr>
          <w:rFonts w:ascii="Arial" w:hAnsi="Arial" w:cs="Arial"/>
          <w:sz w:val="22"/>
          <w:szCs w:val="22"/>
        </w:rPr>
      </w:pPr>
    </w:p>
    <w:p w14:paraId="76778C74" w14:textId="5F39533C" w:rsidR="00CD1AE3" w:rsidRDefault="00CD1AE3" w:rsidP="00CD1AE3">
      <w:pPr>
        <w:spacing w:line="360" w:lineRule="auto"/>
        <w:jc w:val="both"/>
        <w:rPr>
          <w:rFonts w:ascii="Arial" w:hAnsi="Arial" w:cs="Arial"/>
          <w:sz w:val="22"/>
          <w:szCs w:val="22"/>
        </w:rPr>
      </w:pPr>
      <w:r w:rsidRPr="00391F53">
        <w:rPr>
          <w:rFonts w:ascii="Arial" w:hAnsi="Arial" w:cs="Arial"/>
          <w:sz w:val="22"/>
          <w:szCs w:val="22"/>
        </w:rPr>
        <w:lastRenderedPageBreak/>
        <w:t>Dicha facultad de postular candidatos por parte de los partidos políticos, deriva del carácter que les es otorgado en el artículo 41, párrafo I, de la Constitución; es decir, son entidades de interés público cuyo deber primordial o finalidad principal, es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w:t>
      </w:r>
    </w:p>
    <w:p w14:paraId="353AFF89" w14:textId="77777777" w:rsidR="00006C9F" w:rsidRPr="00391F53" w:rsidRDefault="00006C9F" w:rsidP="00CD1AE3">
      <w:pPr>
        <w:spacing w:line="360" w:lineRule="auto"/>
        <w:jc w:val="both"/>
        <w:rPr>
          <w:rFonts w:ascii="Arial" w:hAnsi="Arial" w:cs="Arial"/>
          <w:sz w:val="22"/>
          <w:szCs w:val="22"/>
        </w:rPr>
      </w:pPr>
    </w:p>
    <w:p w14:paraId="2EDAAAE5" w14:textId="77777777" w:rsidR="00CD1AE3" w:rsidRPr="00391F53" w:rsidRDefault="00CD1AE3" w:rsidP="00CD1AE3">
      <w:pPr>
        <w:spacing w:line="360" w:lineRule="auto"/>
        <w:jc w:val="both"/>
        <w:rPr>
          <w:rFonts w:ascii="Arial" w:hAnsi="Arial" w:cs="Arial"/>
          <w:sz w:val="22"/>
          <w:szCs w:val="22"/>
        </w:rPr>
      </w:pPr>
      <w:r w:rsidRPr="00391F53">
        <w:rPr>
          <w:rFonts w:ascii="Arial" w:hAnsi="Arial" w:cs="Arial"/>
          <w:sz w:val="22"/>
          <w:szCs w:val="22"/>
        </w:rPr>
        <w:t>Lo anterior, porque como se precisó, los partidos políticos al ser entidades de interés público, fungen como medio de acceso de los ciudadanos para el ejercicio del poder público y tienen la obligación conjunta de garantizar dicho acceso cumpliendo también con los principios y postulados de la paridad de género establecidos en la ley y la jurisprudencia respectiva, resultando entonces que una de las finalidades primordiales de los partidos políticos es postular candidaturas a cargos de elección popular</w:t>
      </w:r>
      <w:r>
        <w:rPr>
          <w:rFonts w:ascii="Arial" w:hAnsi="Arial" w:cs="Arial"/>
          <w:sz w:val="22"/>
          <w:szCs w:val="22"/>
        </w:rPr>
        <w:t>.</w:t>
      </w:r>
    </w:p>
    <w:p w14:paraId="76A7958F" w14:textId="16217E26" w:rsidR="000865A0" w:rsidRDefault="000865A0" w:rsidP="00E65D99">
      <w:pPr>
        <w:spacing w:line="360" w:lineRule="auto"/>
        <w:jc w:val="both"/>
        <w:rPr>
          <w:rFonts w:ascii="Arial" w:eastAsia="Arial" w:hAnsi="Arial" w:cs="Arial"/>
          <w:sz w:val="22"/>
          <w:szCs w:val="22"/>
        </w:rPr>
      </w:pPr>
    </w:p>
    <w:p w14:paraId="50C9AA01" w14:textId="0D0467FF" w:rsidR="000865A0" w:rsidRPr="000865A0" w:rsidRDefault="00690E0B" w:rsidP="000865A0">
      <w:pPr>
        <w:spacing w:line="360" w:lineRule="auto"/>
        <w:jc w:val="both"/>
        <w:rPr>
          <w:rFonts w:ascii="Arial" w:eastAsia="Arial" w:hAnsi="Arial" w:cs="Arial"/>
          <w:sz w:val="22"/>
          <w:szCs w:val="22"/>
        </w:rPr>
      </w:pPr>
      <w:r w:rsidRPr="00465655">
        <w:rPr>
          <w:rFonts w:ascii="Arial" w:eastAsia="Arial" w:hAnsi="Arial" w:cs="Arial"/>
          <w:sz w:val="22"/>
          <w:szCs w:val="22"/>
        </w:rPr>
        <w:t xml:space="preserve">Por lo cual, este Tribunal considera </w:t>
      </w:r>
      <w:r w:rsidR="00465655" w:rsidRPr="00465655">
        <w:rPr>
          <w:rFonts w:ascii="Arial" w:eastAsia="Arial" w:hAnsi="Arial" w:cs="Arial"/>
          <w:sz w:val="22"/>
          <w:szCs w:val="22"/>
        </w:rPr>
        <w:t>que,</w:t>
      </w:r>
      <w:r w:rsidRPr="00465655">
        <w:rPr>
          <w:rFonts w:ascii="Arial" w:eastAsia="Arial" w:hAnsi="Arial" w:cs="Arial"/>
          <w:sz w:val="22"/>
          <w:szCs w:val="22"/>
        </w:rPr>
        <w:t xml:space="preserve"> ante la renuncia de candidaturas, </w:t>
      </w:r>
      <w:r w:rsidR="000865A0" w:rsidRPr="000865A0">
        <w:rPr>
          <w:rFonts w:ascii="Arial" w:eastAsia="Arial" w:hAnsi="Arial" w:cs="Arial"/>
          <w:sz w:val="22"/>
          <w:szCs w:val="22"/>
        </w:rPr>
        <w:t xml:space="preserve">el acto </w:t>
      </w:r>
      <w:r w:rsidRPr="00465655">
        <w:rPr>
          <w:rFonts w:ascii="Arial" w:eastAsia="Arial" w:hAnsi="Arial" w:cs="Arial"/>
          <w:sz w:val="22"/>
          <w:szCs w:val="22"/>
        </w:rPr>
        <w:t xml:space="preserve">de sustitución </w:t>
      </w:r>
      <w:r w:rsidR="000865A0" w:rsidRPr="000865A0">
        <w:rPr>
          <w:rFonts w:ascii="Arial" w:eastAsia="Arial" w:hAnsi="Arial" w:cs="Arial"/>
          <w:sz w:val="22"/>
          <w:szCs w:val="22"/>
        </w:rPr>
        <w:t xml:space="preserve">implica </w:t>
      </w:r>
      <w:r w:rsidRPr="00465655">
        <w:rPr>
          <w:rFonts w:ascii="Arial" w:eastAsia="Arial" w:hAnsi="Arial" w:cs="Arial"/>
          <w:sz w:val="22"/>
          <w:szCs w:val="22"/>
        </w:rPr>
        <w:t xml:space="preserve">un </w:t>
      </w:r>
      <w:r w:rsidR="000865A0" w:rsidRPr="000865A0">
        <w:rPr>
          <w:rFonts w:ascii="Arial" w:eastAsia="Arial" w:hAnsi="Arial" w:cs="Arial"/>
          <w:sz w:val="22"/>
          <w:szCs w:val="22"/>
        </w:rPr>
        <w:t>ejercicio de</w:t>
      </w:r>
      <w:r w:rsidRPr="00465655">
        <w:rPr>
          <w:rFonts w:ascii="Arial" w:eastAsia="Arial" w:hAnsi="Arial" w:cs="Arial"/>
          <w:sz w:val="22"/>
          <w:szCs w:val="22"/>
        </w:rPr>
        <w:t>l</w:t>
      </w:r>
      <w:r w:rsidR="000865A0" w:rsidRPr="000865A0">
        <w:rPr>
          <w:rFonts w:ascii="Arial" w:eastAsia="Arial" w:hAnsi="Arial" w:cs="Arial"/>
          <w:sz w:val="22"/>
          <w:szCs w:val="22"/>
        </w:rPr>
        <w:t xml:space="preserve"> derecho a la autodeterminación</w:t>
      </w:r>
      <w:r w:rsidR="00465655" w:rsidRPr="00465655">
        <w:rPr>
          <w:rFonts w:ascii="Arial" w:eastAsia="Arial" w:hAnsi="Arial" w:cs="Arial"/>
          <w:sz w:val="22"/>
          <w:szCs w:val="22"/>
        </w:rPr>
        <w:t xml:space="preserve"> del partido político</w:t>
      </w:r>
      <w:r w:rsidR="000865A0" w:rsidRPr="000865A0">
        <w:rPr>
          <w:rFonts w:ascii="Arial" w:eastAsia="Arial" w:hAnsi="Arial" w:cs="Arial"/>
          <w:sz w:val="22"/>
          <w:szCs w:val="22"/>
        </w:rPr>
        <w:t>, emitido acorde con su estrategia e ideología política con miras a enfrentar un proceso electoral</w:t>
      </w:r>
      <w:r w:rsidR="009F114D">
        <w:rPr>
          <w:rFonts w:ascii="Arial" w:eastAsia="Arial" w:hAnsi="Arial" w:cs="Arial"/>
          <w:sz w:val="22"/>
          <w:szCs w:val="22"/>
        </w:rPr>
        <w:t xml:space="preserve">, esto además porque </w:t>
      </w:r>
      <w:r w:rsidR="009F114D" w:rsidRPr="009F114D">
        <w:rPr>
          <w:rFonts w:ascii="Arial" w:eastAsia="Arial" w:hAnsi="Arial" w:cs="Arial"/>
          <w:sz w:val="22"/>
          <w:szCs w:val="22"/>
        </w:rPr>
        <w:t>la normativa aplicable prevé la posibilidad de sustitución de candidatos incluso iniciado y avanzado el periodo de campañas y la validez de los sufragios en favor del candidato finalmente registrado</w:t>
      </w:r>
      <w:r w:rsidR="009F114D">
        <w:rPr>
          <w:rFonts w:ascii="Arial" w:eastAsia="Arial" w:hAnsi="Arial" w:cs="Arial"/>
          <w:sz w:val="22"/>
          <w:szCs w:val="22"/>
        </w:rPr>
        <w:t>.</w:t>
      </w:r>
    </w:p>
    <w:p w14:paraId="60821C6E" w14:textId="77777777" w:rsidR="000865A0" w:rsidRDefault="000865A0" w:rsidP="00E65D99">
      <w:pPr>
        <w:spacing w:line="360" w:lineRule="auto"/>
        <w:jc w:val="both"/>
        <w:rPr>
          <w:rFonts w:ascii="Arial" w:eastAsia="Arial" w:hAnsi="Arial" w:cs="Arial"/>
          <w:sz w:val="22"/>
          <w:szCs w:val="22"/>
        </w:rPr>
      </w:pPr>
    </w:p>
    <w:p w14:paraId="5135C05F" w14:textId="2A14ECB7" w:rsidR="001128D8" w:rsidRDefault="001128D8" w:rsidP="00E65D99">
      <w:pPr>
        <w:spacing w:line="360" w:lineRule="auto"/>
        <w:jc w:val="both"/>
        <w:rPr>
          <w:rFonts w:ascii="Arial" w:eastAsia="Arial" w:hAnsi="Arial" w:cs="Arial"/>
          <w:sz w:val="22"/>
          <w:szCs w:val="22"/>
        </w:rPr>
      </w:pPr>
      <w:r>
        <w:rPr>
          <w:rFonts w:ascii="Arial" w:eastAsia="Arial" w:hAnsi="Arial" w:cs="Arial"/>
          <w:sz w:val="22"/>
          <w:szCs w:val="22"/>
        </w:rPr>
        <w:t>En tal sentido,</w:t>
      </w:r>
      <w:r w:rsidR="00006C9F">
        <w:rPr>
          <w:rFonts w:ascii="Arial" w:eastAsia="Arial" w:hAnsi="Arial" w:cs="Arial"/>
          <w:sz w:val="22"/>
          <w:szCs w:val="22"/>
        </w:rPr>
        <w:t xml:space="preserve"> son </w:t>
      </w:r>
      <w:r w:rsidR="00006C9F" w:rsidRPr="00006C9F">
        <w:rPr>
          <w:rFonts w:ascii="Arial" w:eastAsia="Arial" w:hAnsi="Arial" w:cs="Arial"/>
          <w:b/>
          <w:bCs/>
          <w:sz w:val="22"/>
          <w:szCs w:val="22"/>
        </w:rPr>
        <w:t xml:space="preserve">infundados </w:t>
      </w:r>
      <w:r w:rsidR="00006C9F">
        <w:rPr>
          <w:rFonts w:ascii="Arial" w:eastAsia="Arial" w:hAnsi="Arial" w:cs="Arial"/>
          <w:sz w:val="22"/>
          <w:szCs w:val="22"/>
        </w:rPr>
        <w:t>lo agravios, puesto que</w:t>
      </w:r>
      <w:r>
        <w:rPr>
          <w:rFonts w:ascii="Arial" w:eastAsia="Arial" w:hAnsi="Arial" w:cs="Arial"/>
          <w:sz w:val="22"/>
          <w:szCs w:val="22"/>
        </w:rPr>
        <w:t xml:space="preserve"> </w:t>
      </w:r>
      <w:bookmarkStart w:id="13" w:name="_Hlk73444138"/>
      <w:r>
        <w:rPr>
          <w:rFonts w:ascii="Arial" w:eastAsia="Arial" w:hAnsi="Arial" w:cs="Arial"/>
          <w:sz w:val="22"/>
          <w:szCs w:val="22"/>
        </w:rPr>
        <w:t xml:space="preserve">limitar las </w:t>
      </w:r>
      <w:r w:rsidR="008341A1">
        <w:rPr>
          <w:rFonts w:ascii="Arial" w:eastAsia="Arial" w:hAnsi="Arial" w:cs="Arial"/>
          <w:sz w:val="22"/>
          <w:szCs w:val="22"/>
        </w:rPr>
        <w:t>sustituciones</w:t>
      </w:r>
      <w:r>
        <w:rPr>
          <w:rFonts w:ascii="Arial" w:eastAsia="Arial" w:hAnsi="Arial" w:cs="Arial"/>
          <w:sz w:val="22"/>
          <w:szCs w:val="22"/>
        </w:rPr>
        <w:t xml:space="preserve"> únicamente </w:t>
      </w:r>
      <w:r w:rsidR="008341A1">
        <w:rPr>
          <w:rFonts w:ascii="Arial" w:eastAsia="Arial" w:hAnsi="Arial" w:cs="Arial"/>
          <w:sz w:val="22"/>
          <w:szCs w:val="22"/>
        </w:rPr>
        <w:t xml:space="preserve">a la exigencia de un mandato jurisdiccional, sería restrictivo de derechos, tanto de los políticos para la ciudadanía y militancia, como de los derechos de libre autodeterminación </w:t>
      </w:r>
      <w:r w:rsidR="00465655">
        <w:rPr>
          <w:rFonts w:ascii="Arial" w:eastAsia="Arial" w:hAnsi="Arial" w:cs="Arial"/>
          <w:sz w:val="22"/>
          <w:szCs w:val="22"/>
        </w:rPr>
        <w:t xml:space="preserve">y regulación </w:t>
      </w:r>
      <w:r w:rsidR="008341A1">
        <w:rPr>
          <w:rFonts w:ascii="Arial" w:eastAsia="Arial" w:hAnsi="Arial" w:cs="Arial"/>
          <w:sz w:val="22"/>
          <w:szCs w:val="22"/>
        </w:rPr>
        <w:t xml:space="preserve">de los partidos políticos. </w:t>
      </w:r>
    </w:p>
    <w:bookmarkEnd w:id="13"/>
    <w:p w14:paraId="5DBD7978" w14:textId="1707E3ED" w:rsidR="00710E38" w:rsidRDefault="00710E38" w:rsidP="00732E61">
      <w:pPr>
        <w:spacing w:line="360" w:lineRule="auto"/>
        <w:jc w:val="both"/>
        <w:rPr>
          <w:rFonts w:ascii="Arial" w:hAnsi="Arial" w:cs="Arial"/>
          <w:sz w:val="22"/>
          <w:szCs w:val="22"/>
        </w:rPr>
      </w:pPr>
    </w:p>
    <w:p w14:paraId="7A799B0C" w14:textId="14C5B2AF" w:rsidR="005228E1" w:rsidRPr="002139AB" w:rsidRDefault="00F104F3" w:rsidP="005228E1">
      <w:pPr>
        <w:tabs>
          <w:tab w:val="left" w:pos="1635"/>
        </w:tabs>
        <w:spacing w:line="360" w:lineRule="auto"/>
        <w:jc w:val="both"/>
        <w:rPr>
          <w:rFonts w:ascii="Arial" w:eastAsia="Arial" w:hAnsi="Arial" w:cs="Arial"/>
          <w:b/>
          <w:sz w:val="22"/>
          <w:szCs w:val="22"/>
        </w:rPr>
      </w:pPr>
      <w:r>
        <w:rPr>
          <w:rFonts w:ascii="Arial" w:eastAsia="Arial" w:hAnsi="Arial" w:cs="Arial"/>
          <w:b/>
          <w:sz w:val="22"/>
          <w:szCs w:val="22"/>
        </w:rPr>
        <w:t>El proceso de designación sumario</w:t>
      </w:r>
      <w:r w:rsidR="00D269A3">
        <w:rPr>
          <w:rFonts w:ascii="Arial" w:eastAsia="Arial" w:hAnsi="Arial" w:cs="Arial"/>
          <w:b/>
          <w:sz w:val="22"/>
          <w:szCs w:val="22"/>
        </w:rPr>
        <w:t>.</w:t>
      </w:r>
    </w:p>
    <w:p w14:paraId="3E88FC7A" w14:textId="00EC4CA2" w:rsidR="005228E1" w:rsidRDefault="005228E1" w:rsidP="00732E61">
      <w:pPr>
        <w:spacing w:line="360" w:lineRule="auto"/>
        <w:jc w:val="both"/>
        <w:rPr>
          <w:rFonts w:ascii="Arial" w:hAnsi="Arial" w:cs="Arial"/>
          <w:sz w:val="22"/>
          <w:szCs w:val="22"/>
        </w:rPr>
      </w:pPr>
    </w:p>
    <w:p w14:paraId="466E783F" w14:textId="4C981861" w:rsidR="005228E1" w:rsidRDefault="00D269A3" w:rsidP="005228E1">
      <w:pPr>
        <w:spacing w:line="360" w:lineRule="auto"/>
        <w:jc w:val="both"/>
        <w:rPr>
          <w:rFonts w:ascii="Arial" w:eastAsia="Arial" w:hAnsi="Arial" w:cs="Arial"/>
          <w:sz w:val="22"/>
          <w:szCs w:val="22"/>
        </w:rPr>
      </w:pPr>
      <w:r>
        <w:rPr>
          <w:rFonts w:ascii="Arial" w:eastAsia="Arial" w:hAnsi="Arial" w:cs="Arial"/>
          <w:sz w:val="22"/>
          <w:szCs w:val="22"/>
        </w:rPr>
        <w:t>Ahora bien, s</w:t>
      </w:r>
      <w:r w:rsidR="005228E1">
        <w:rPr>
          <w:rFonts w:ascii="Arial" w:eastAsia="Arial" w:hAnsi="Arial" w:cs="Arial"/>
          <w:sz w:val="22"/>
          <w:szCs w:val="22"/>
        </w:rPr>
        <w:t xml:space="preserve">obre el lapso de la publicación respectiva, que permitió únicamente 16 horas de participación en el mismo, lo que -a su dicho- le genera una imposibilidad real y material para encontrarse en condiciones de conocer de la existencia de la convocatoria y participar en la misma, también es </w:t>
      </w:r>
      <w:r w:rsidR="005228E1" w:rsidRPr="00815091">
        <w:rPr>
          <w:rFonts w:ascii="Arial" w:eastAsia="Arial" w:hAnsi="Arial" w:cs="Arial"/>
          <w:b/>
          <w:bCs/>
          <w:sz w:val="22"/>
          <w:szCs w:val="22"/>
        </w:rPr>
        <w:t>infundado</w:t>
      </w:r>
      <w:r w:rsidR="005228E1">
        <w:rPr>
          <w:rFonts w:ascii="Arial" w:eastAsia="Arial" w:hAnsi="Arial" w:cs="Arial"/>
          <w:sz w:val="22"/>
          <w:szCs w:val="22"/>
        </w:rPr>
        <w:t xml:space="preserve"> por lo siguiente.</w:t>
      </w:r>
    </w:p>
    <w:p w14:paraId="01EC0D4B" w14:textId="77777777" w:rsidR="00CD1AE3" w:rsidRDefault="00CD1AE3" w:rsidP="005228E1">
      <w:pPr>
        <w:spacing w:line="360" w:lineRule="auto"/>
        <w:jc w:val="both"/>
        <w:rPr>
          <w:rFonts w:ascii="Arial" w:eastAsia="Arial" w:hAnsi="Arial" w:cs="Arial"/>
          <w:sz w:val="22"/>
          <w:szCs w:val="22"/>
        </w:rPr>
      </w:pPr>
    </w:p>
    <w:p w14:paraId="2A7F066E" w14:textId="77777777" w:rsidR="00710E38" w:rsidRDefault="00710E38" w:rsidP="00710E38">
      <w:pPr>
        <w:spacing w:line="360" w:lineRule="auto"/>
        <w:jc w:val="both"/>
        <w:rPr>
          <w:rFonts w:ascii="Arial" w:eastAsia="Arial" w:hAnsi="Arial" w:cs="Arial"/>
          <w:sz w:val="22"/>
          <w:szCs w:val="22"/>
        </w:rPr>
      </w:pPr>
      <w:r>
        <w:rPr>
          <w:rFonts w:ascii="Arial" w:eastAsia="Arial" w:hAnsi="Arial" w:cs="Arial"/>
          <w:sz w:val="22"/>
          <w:szCs w:val="22"/>
        </w:rPr>
        <w:t>Este Tribunal considera que, ante la premura en que se encontraba el PAN, de poder realizar la sustitución de sus candidaturas en el distrito XIV, ese instituto político se encontraba imposibilitado en otorgar un mayor margen de tiempo en su convocatoria, dado que, de hacerlo, estaría impedido para poder realizar las sustituciones y se incurriría en u</w:t>
      </w:r>
      <w:r w:rsidRPr="00F16F85">
        <w:rPr>
          <w:rFonts w:ascii="Arial" w:eastAsia="Arial" w:hAnsi="Arial" w:cs="Arial"/>
          <w:sz w:val="22"/>
          <w:szCs w:val="22"/>
        </w:rPr>
        <w:t>na afectación al principio de certeza,</w:t>
      </w:r>
      <w:r>
        <w:rPr>
          <w:rFonts w:ascii="Arial" w:eastAsia="Arial" w:hAnsi="Arial" w:cs="Arial"/>
          <w:sz w:val="22"/>
          <w:szCs w:val="22"/>
        </w:rPr>
        <w:t xml:space="preserve"> dada la complejidad de la temporalidad.</w:t>
      </w:r>
    </w:p>
    <w:p w14:paraId="662684EC" w14:textId="77777777" w:rsidR="00710E38" w:rsidRDefault="00710E38" w:rsidP="00710E38">
      <w:pPr>
        <w:spacing w:line="360" w:lineRule="auto"/>
        <w:jc w:val="both"/>
        <w:rPr>
          <w:rFonts w:ascii="Arial" w:eastAsia="Arial" w:hAnsi="Arial" w:cs="Arial"/>
          <w:sz w:val="22"/>
          <w:szCs w:val="22"/>
        </w:rPr>
      </w:pPr>
    </w:p>
    <w:p w14:paraId="6EC63F34" w14:textId="77777777" w:rsidR="00710E38" w:rsidRDefault="00710E38" w:rsidP="00710E38">
      <w:pPr>
        <w:spacing w:line="360" w:lineRule="auto"/>
        <w:jc w:val="both"/>
        <w:rPr>
          <w:rFonts w:ascii="Arial" w:eastAsia="Arial" w:hAnsi="Arial" w:cs="Arial"/>
          <w:sz w:val="22"/>
          <w:szCs w:val="22"/>
        </w:rPr>
      </w:pPr>
      <w:r>
        <w:rPr>
          <w:rFonts w:ascii="Arial" w:eastAsia="Arial" w:hAnsi="Arial" w:cs="Arial"/>
          <w:sz w:val="22"/>
          <w:szCs w:val="22"/>
        </w:rPr>
        <w:t xml:space="preserve">Lo anterior, en el entendido que la fecha límite para la sustitución de las candidaturas por renuncia, de acuerdo con el artículo 155, fracción tercera del Código Electoral, era el 21 de mayo, además, con base en el Acuerdo del CG del IEE </w:t>
      </w:r>
      <w:r w:rsidRPr="006D0892">
        <w:rPr>
          <w:rFonts w:ascii="Arial" w:eastAsia="Arial" w:hAnsi="Arial" w:cs="Arial"/>
          <w:sz w:val="22"/>
          <w:szCs w:val="22"/>
        </w:rPr>
        <w:t>CG-A-28/2020</w:t>
      </w:r>
      <w:r>
        <w:rPr>
          <w:rFonts w:ascii="Arial" w:eastAsia="Arial" w:hAnsi="Arial" w:cs="Arial"/>
          <w:sz w:val="22"/>
          <w:szCs w:val="22"/>
        </w:rPr>
        <w:t>, la fecha límite era el día 17 de mayo, como puede apreciarse de la siguiente captura del calendario electoral:</w:t>
      </w:r>
    </w:p>
    <w:p w14:paraId="5B55A9A5" w14:textId="77777777" w:rsidR="00710E38" w:rsidRDefault="00710E38" w:rsidP="00710E38">
      <w:pPr>
        <w:spacing w:line="360" w:lineRule="auto"/>
        <w:ind w:left="720" w:hanging="72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41FFA72A" wp14:editId="5AF04144">
            <wp:extent cx="4683983" cy="1496291"/>
            <wp:effectExtent l="0" t="0" r="254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5946" cy="1496918"/>
                    </a:xfrm>
                    <a:prstGeom prst="rect">
                      <a:avLst/>
                    </a:prstGeom>
                    <a:noFill/>
                    <a:ln>
                      <a:noFill/>
                    </a:ln>
                  </pic:spPr>
                </pic:pic>
              </a:graphicData>
            </a:graphic>
          </wp:inline>
        </w:drawing>
      </w:r>
    </w:p>
    <w:p w14:paraId="005A029A" w14:textId="77777777" w:rsidR="00710E38" w:rsidRDefault="00710E38" w:rsidP="00710E38">
      <w:pPr>
        <w:spacing w:line="360" w:lineRule="auto"/>
        <w:jc w:val="both"/>
        <w:rPr>
          <w:rFonts w:ascii="Arial" w:eastAsia="Arial" w:hAnsi="Arial" w:cs="Arial"/>
          <w:sz w:val="22"/>
          <w:szCs w:val="22"/>
        </w:rPr>
      </w:pPr>
    </w:p>
    <w:p w14:paraId="18227164" w14:textId="77777777" w:rsidR="00710E38" w:rsidRDefault="00710E38" w:rsidP="00710E38">
      <w:pPr>
        <w:spacing w:line="360" w:lineRule="auto"/>
        <w:jc w:val="both"/>
        <w:rPr>
          <w:rFonts w:ascii="Arial" w:eastAsia="Arial" w:hAnsi="Arial" w:cs="Arial"/>
          <w:sz w:val="22"/>
          <w:szCs w:val="22"/>
        </w:rPr>
      </w:pPr>
      <w:r>
        <w:rPr>
          <w:rFonts w:ascii="Arial" w:eastAsia="Arial" w:hAnsi="Arial" w:cs="Arial"/>
          <w:sz w:val="22"/>
          <w:szCs w:val="22"/>
        </w:rPr>
        <w:t xml:space="preserve">En tal sentido, ante la confusión de los términos, el PAN contaba con tiempo limitado para instaurar su proceso de selección interna, por lo que los tiempos tuvieron que ser acotados ante la premura de la situación, ya que no hacerlo de esa manera, supondría un riesgo inminente </w:t>
      </w:r>
      <w:r w:rsidRPr="00E5088E">
        <w:rPr>
          <w:rFonts w:ascii="Arial" w:eastAsia="Arial" w:hAnsi="Arial" w:cs="Arial"/>
          <w:sz w:val="22"/>
          <w:szCs w:val="22"/>
        </w:rPr>
        <w:t>para la ciudadanía interesada en participar y para toda la militancia, pues las posibilidades de acceder a un cargo de elección popular serían nulas</w:t>
      </w:r>
      <w:r>
        <w:rPr>
          <w:rFonts w:ascii="Arial" w:eastAsia="Arial" w:hAnsi="Arial" w:cs="Arial"/>
          <w:sz w:val="22"/>
          <w:szCs w:val="22"/>
        </w:rPr>
        <w:t xml:space="preserve"> </w:t>
      </w:r>
      <w:r w:rsidRPr="00E5088E">
        <w:rPr>
          <w:rFonts w:ascii="Arial" w:eastAsia="Arial" w:hAnsi="Arial" w:cs="Arial"/>
          <w:sz w:val="22"/>
          <w:szCs w:val="22"/>
        </w:rPr>
        <w:t>al quedar fuera de los plazos de sustitución.</w:t>
      </w:r>
    </w:p>
    <w:p w14:paraId="7C64B994" w14:textId="77777777" w:rsidR="00710E38" w:rsidRDefault="00710E38" w:rsidP="00710E38">
      <w:pPr>
        <w:spacing w:line="360" w:lineRule="auto"/>
        <w:jc w:val="both"/>
        <w:rPr>
          <w:rFonts w:ascii="Arial" w:eastAsia="Arial" w:hAnsi="Arial" w:cs="Arial"/>
          <w:sz w:val="22"/>
          <w:szCs w:val="22"/>
        </w:rPr>
      </w:pPr>
    </w:p>
    <w:p w14:paraId="3F307070" w14:textId="77777777" w:rsidR="00710E38" w:rsidRDefault="00710E38" w:rsidP="00710E38">
      <w:pPr>
        <w:spacing w:line="360" w:lineRule="auto"/>
        <w:jc w:val="both"/>
        <w:rPr>
          <w:rFonts w:ascii="Arial" w:eastAsia="Arial" w:hAnsi="Arial" w:cs="Arial"/>
          <w:sz w:val="22"/>
          <w:szCs w:val="22"/>
        </w:rPr>
      </w:pPr>
      <w:r>
        <w:rPr>
          <w:rFonts w:ascii="Arial" w:eastAsia="Arial" w:hAnsi="Arial" w:cs="Arial"/>
          <w:sz w:val="22"/>
          <w:szCs w:val="22"/>
        </w:rPr>
        <w:t xml:space="preserve">Lo anterior, devendría en condiciones contrarias a las otorgadas constitucionalmente a los partidos políticos, mediante el artículo 41 de la Carta Magna, que les confiere la obligación de hacer posible a la ciudadanía el acceso al poder público. </w:t>
      </w:r>
    </w:p>
    <w:p w14:paraId="4056468A" w14:textId="77777777" w:rsidR="00710E38" w:rsidRDefault="00710E38" w:rsidP="00710E38">
      <w:pPr>
        <w:spacing w:line="360" w:lineRule="auto"/>
        <w:jc w:val="both"/>
        <w:rPr>
          <w:rFonts w:ascii="Arial" w:eastAsia="Arial" w:hAnsi="Arial" w:cs="Arial"/>
          <w:sz w:val="22"/>
          <w:szCs w:val="22"/>
        </w:rPr>
      </w:pPr>
    </w:p>
    <w:p w14:paraId="48DCEB68" w14:textId="77777777" w:rsidR="00710E38" w:rsidRPr="00732255" w:rsidRDefault="00710E38" w:rsidP="00710E38">
      <w:pPr>
        <w:spacing w:line="276" w:lineRule="auto"/>
        <w:ind w:left="708"/>
        <w:jc w:val="both"/>
        <w:rPr>
          <w:rFonts w:ascii="Arial" w:hAnsi="Arial" w:cs="Arial"/>
          <w:i/>
          <w:iCs/>
        </w:rPr>
      </w:pPr>
      <w:r w:rsidRPr="00732255">
        <w:rPr>
          <w:rFonts w:ascii="Arial" w:hAnsi="Arial" w:cs="Arial"/>
          <w:i/>
          <w:iCs/>
        </w:rPr>
        <w:t>Artículo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5E3FD55D" w14:textId="77777777" w:rsidR="00710E38" w:rsidRPr="00732255" w:rsidRDefault="00710E38" w:rsidP="00710E38">
      <w:pPr>
        <w:spacing w:line="276" w:lineRule="auto"/>
        <w:ind w:left="708"/>
        <w:jc w:val="both"/>
        <w:rPr>
          <w:rFonts w:ascii="Arial" w:hAnsi="Arial" w:cs="Arial"/>
          <w:i/>
          <w:iCs/>
        </w:rPr>
      </w:pPr>
    </w:p>
    <w:p w14:paraId="51E92FCB" w14:textId="77777777" w:rsidR="00710E38" w:rsidRPr="00732255" w:rsidRDefault="00710E38" w:rsidP="00710E38">
      <w:pPr>
        <w:spacing w:line="276" w:lineRule="auto"/>
        <w:ind w:left="708"/>
        <w:jc w:val="both"/>
        <w:rPr>
          <w:rFonts w:ascii="Arial" w:hAnsi="Arial" w:cs="Arial"/>
          <w:i/>
          <w:iCs/>
        </w:rPr>
      </w:pPr>
      <w:r w:rsidRPr="00732255">
        <w:rPr>
          <w:rFonts w:ascii="Arial" w:hAnsi="Arial" w:cs="Arial"/>
          <w:i/>
          <w:iCs/>
        </w:rPr>
        <w:t>[...]</w:t>
      </w:r>
    </w:p>
    <w:p w14:paraId="79DB64DF" w14:textId="77777777" w:rsidR="00710E38" w:rsidRPr="00732255" w:rsidRDefault="00710E38" w:rsidP="00710E38">
      <w:pPr>
        <w:spacing w:line="276" w:lineRule="auto"/>
        <w:ind w:left="708"/>
        <w:jc w:val="both"/>
        <w:rPr>
          <w:rFonts w:ascii="Arial" w:hAnsi="Arial" w:cs="Arial"/>
          <w:i/>
          <w:iCs/>
        </w:rPr>
      </w:pPr>
    </w:p>
    <w:p w14:paraId="70B9AEF4" w14:textId="77777777" w:rsidR="00710E38" w:rsidRPr="00732255" w:rsidRDefault="00710E38" w:rsidP="00710E38">
      <w:pPr>
        <w:pStyle w:val="Prrafodelista"/>
        <w:numPr>
          <w:ilvl w:val="0"/>
          <w:numId w:val="32"/>
        </w:numPr>
        <w:spacing w:line="276" w:lineRule="auto"/>
        <w:ind w:left="1788"/>
        <w:jc w:val="both"/>
        <w:rPr>
          <w:rFonts w:ascii="Arial" w:hAnsi="Arial" w:cs="Arial"/>
          <w:i/>
          <w:iCs/>
        </w:rPr>
      </w:pPr>
      <w:r w:rsidRPr="00732255">
        <w:rPr>
          <w:rFonts w:ascii="Arial" w:hAnsi="Arial" w:cs="Arial"/>
          <w:i/>
          <w:iCs/>
        </w:rPr>
        <w:t>[...]</w:t>
      </w:r>
    </w:p>
    <w:p w14:paraId="1E79AEDE" w14:textId="77777777" w:rsidR="00710E38" w:rsidRPr="00732255" w:rsidRDefault="00710E38" w:rsidP="00710E38">
      <w:pPr>
        <w:spacing w:line="276" w:lineRule="auto"/>
        <w:ind w:left="708"/>
        <w:jc w:val="both"/>
        <w:rPr>
          <w:rFonts w:ascii="Arial" w:hAnsi="Arial" w:cs="Arial"/>
          <w:i/>
          <w:iCs/>
        </w:rPr>
      </w:pPr>
    </w:p>
    <w:p w14:paraId="3D36479A" w14:textId="77777777" w:rsidR="00710E38" w:rsidRPr="00732255" w:rsidRDefault="00710E38" w:rsidP="00710E38">
      <w:pPr>
        <w:spacing w:line="276" w:lineRule="auto"/>
        <w:ind w:left="1788"/>
        <w:jc w:val="both"/>
        <w:rPr>
          <w:rFonts w:ascii="Arial" w:hAnsi="Arial" w:cs="Arial"/>
          <w:i/>
          <w:iCs/>
        </w:rPr>
      </w:pPr>
      <w:r w:rsidRPr="00732255">
        <w:rPr>
          <w:rFonts w:ascii="Arial" w:hAnsi="Arial" w:cs="Arial"/>
          <w:b/>
          <w:bCs/>
          <w:i/>
          <w:iCs/>
        </w:rPr>
        <w:t xml:space="preserve">Los partidos políticos tienen como fin promover la participación del pueblo en la vida democrática, fomentar el principio de paridad de género, contribuir a la integración de los órganos de representación política, y como organizaciones ciudadanas, </w:t>
      </w:r>
      <w:r w:rsidRPr="00732255">
        <w:rPr>
          <w:rFonts w:ascii="Arial" w:hAnsi="Arial" w:cs="Arial"/>
          <w:b/>
          <w:bCs/>
          <w:i/>
          <w:iCs/>
          <w:u w:val="single"/>
        </w:rPr>
        <w:t xml:space="preserve">hacer posible su acceso al ejercicio del poder público, </w:t>
      </w:r>
      <w:r w:rsidRPr="00732255">
        <w:rPr>
          <w:rFonts w:ascii="Arial" w:hAnsi="Arial" w:cs="Arial"/>
          <w:b/>
          <w:bCs/>
          <w:i/>
          <w:iCs/>
        </w:rPr>
        <w:t>de acuerdo con los programas, principios e ideas que postulan y mediante el sufragio universal, libre, secreto y directo</w:t>
      </w:r>
      <w:r w:rsidRPr="00732255">
        <w:rPr>
          <w:rFonts w:ascii="Arial" w:hAnsi="Arial" w:cs="Arial"/>
          <w:i/>
          <w:iCs/>
        </w:rPr>
        <w:t>, así como con las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14:paraId="6665A753" w14:textId="77777777" w:rsidR="00710E38" w:rsidRDefault="00710E38" w:rsidP="00710E38">
      <w:pPr>
        <w:spacing w:line="276" w:lineRule="auto"/>
        <w:ind w:left="1788"/>
        <w:jc w:val="both"/>
        <w:rPr>
          <w:rFonts w:ascii="Arial" w:hAnsi="Arial" w:cs="Arial"/>
          <w:i/>
          <w:iCs/>
          <w:sz w:val="22"/>
          <w:szCs w:val="22"/>
        </w:rPr>
      </w:pPr>
    </w:p>
    <w:p w14:paraId="64D106D3" w14:textId="77777777" w:rsidR="00710E38" w:rsidRPr="00282327" w:rsidRDefault="00710E38" w:rsidP="00710E38">
      <w:pPr>
        <w:spacing w:line="276" w:lineRule="auto"/>
        <w:ind w:left="1788"/>
        <w:jc w:val="both"/>
        <w:rPr>
          <w:rFonts w:ascii="Arial" w:hAnsi="Arial" w:cs="Arial"/>
          <w:i/>
          <w:iCs/>
          <w:sz w:val="22"/>
          <w:szCs w:val="22"/>
        </w:rPr>
      </w:pPr>
      <w:r>
        <w:rPr>
          <w:rFonts w:ascii="Arial" w:hAnsi="Arial" w:cs="Arial"/>
          <w:i/>
          <w:iCs/>
          <w:sz w:val="22"/>
          <w:szCs w:val="22"/>
        </w:rPr>
        <w:t>[...]</w:t>
      </w:r>
    </w:p>
    <w:p w14:paraId="06CABB45" w14:textId="77777777" w:rsidR="00710E38" w:rsidRDefault="00710E38" w:rsidP="00732E61">
      <w:pPr>
        <w:spacing w:line="360" w:lineRule="auto"/>
        <w:jc w:val="both"/>
        <w:rPr>
          <w:rFonts w:ascii="Arial" w:hAnsi="Arial" w:cs="Arial"/>
          <w:sz w:val="22"/>
          <w:szCs w:val="22"/>
        </w:rPr>
      </w:pPr>
    </w:p>
    <w:p w14:paraId="40EDE211" w14:textId="391F3494" w:rsidR="0039113F" w:rsidRDefault="008341A1" w:rsidP="00732E61">
      <w:pPr>
        <w:spacing w:line="360" w:lineRule="auto"/>
        <w:jc w:val="both"/>
        <w:rPr>
          <w:rFonts w:ascii="Arial" w:eastAsia="Arial" w:hAnsi="Arial" w:cs="Arial"/>
          <w:sz w:val="22"/>
          <w:szCs w:val="22"/>
        </w:rPr>
      </w:pPr>
      <w:r>
        <w:rPr>
          <w:rFonts w:ascii="Arial" w:hAnsi="Arial" w:cs="Arial"/>
          <w:sz w:val="22"/>
          <w:szCs w:val="22"/>
        </w:rPr>
        <w:t>Ahora, sobre que específicamente se</w:t>
      </w:r>
      <w:r w:rsidR="00122614">
        <w:rPr>
          <w:rFonts w:ascii="Arial" w:hAnsi="Arial" w:cs="Arial"/>
          <w:sz w:val="22"/>
          <w:szCs w:val="22"/>
        </w:rPr>
        <w:t xml:space="preserve"> instaurara</w:t>
      </w:r>
      <w:r>
        <w:rPr>
          <w:rFonts w:ascii="Arial" w:hAnsi="Arial" w:cs="Arial"/>
          <w:sz w:val="22"/>
          <w:szCs w:val="22"/>
        </w:rPr>
        <w:t xml:space="preserve"> un procedimiento sumario para el </w:t>
      </w:r>
      <w:r w:rsidR="00122614">
        <w:rPr>
          <w:rFonts w:ascii="Arial" w:hAnsi="Arial" w:cs="Arial"/>
          <w:sz w:val="22"/>
          <w:szCs w:val="22"/>
        </w:rPr>
        <w:t>distrito</w:t>
      </w:r>
      <w:r>
        <w:rPr>
          <w:rFonts w:ascii="Arial" w:hAnsi="Arial" w:cs="Arial"/>
          <w:sz w:val="22"/>
          <w:szCs w:val="22"/>
        </w:rPr>
        <w:t xml:space="preserve"> XIV, </w:t>
      </w:r>
      <w:r w:rsidR="00122614">
        <w:rPr>
          <w:rFonts w:ascii="Arial" w:hAnsi="Arial" w:cs="Arial"/>
          <w:sz w:val="22"/>
          <w:szCs w:val="22"/>
        </w:rPr>
        <w:t xml:space="preserve">tal y como </w:t>
      </w:r>
      <w:r w:rsidR="00DE2926">
        <w:rPr>
          <w:rFonts w:ascii="Arial" w:hAnsi="Arial" w:cs="Arial"/>
          <w:sz w:val="22"/>
          <w:szCs w:val="22"/>
        </w:rPr>
        <w:t xml:space="preserve">ya </w:t>
      </w:r>
      <w:r w:rsidR="00122614">
        <w:rPr>
          <w:rFonts w:ascii="Arial" w:hAnsi="Arial" w:cs="Arial"/>
          <w:sz w:val="22"/>
          <w:szCs w:val="22"/>
        </w:rPr>
        <w:t xml:space="preserve">se </w:t>
      </w:r>
      <w:r w:rsidR="00DE2926">
        <w:rPr>
          <w:rFonts w:ascii="Arial" w:hAnsi="Arial" w:cs="Arial"/>
          <w:sz w:val="22"/>
          <w:szCs w:val="22"/>
        </w:rPr>
        <w:t>analizó</w:t>
      </w:r>
      <w:r w:rsidR="00122614">
        <w:rPr>
          <w:rFonts w:ascii="Arial" w:hAnsi="Arial" w:cs="Arial"/>
          <w:sz w:val="22"/>
          <w:szCs w:val="22"/>
        </w:rPr>
        <w:t xml:space="preserve">, la situación actual del proceso implicaba un actuar expedito por parte de la responsable, dado que, </w:t>
      </w:r>
      <w:r w:rsidR="00751EEA">
        <w:rPr>
          <w:rFonts w:ascii="Arial" w:hAnsi="Arial" w:cs="Arial"/>
          <w:sz w:val="22"/>
          <w:szCs w:val="22"/>
        </w:rPr>
        <w:t>en acatamiento</w:t>
      </w:r>
      <w:r w:rsidR="00122614">
        <w:rPr>
          <w:rFonts w:ascii="Arial" w:hAnsi="Arial" w:cs="Arial"/>
          <w:sz w:val="22"/>
          <w:szCs w:val="22"/>
        </w:rPr>
        <w:t xml:space="preserve"> </w:t>
      </w:r>
      <w:r w:rsidR="00751EEA">
        <w:rPr>
          <w:rFonts w:ascii="Arial" w:hAnsi="Arial" w:cs="Arial"/>
          <w:sz w:val="22"/>
          <w:szCs w:val="22"/>
        </w:rPr>
        <w:t>a</w:t>
      </w:r>
      <w:r w:rsidR="00122614">
        <w:rPr>
          <w:rFonts w:ascii="Arial" w:hAnsi="Arial" w:cs="Arial"/>
          <w:sz w:val="22"/>
          <w:szCs w:val="22"/>
        </w:rPr>
        <w:t xml:space="preserve"> lo señalado en </w:t>
      </w:r>
      <w:r w:rsidR="00122614">
        <w:rPr>
          <w:rFonts w:ascii="Arial" w:eastAsia="Arial" w:hAnsi="Arial" w:cs="Arial"/>
          <w:sz w:val="22"/>
          <w:szCs w:val="22"/>
        </w:rPr>
        <w:t xml:space="preserve">el Acuerdo del CG del IEE </w:t>
      </w:r>
      <w:r w:rsidR="00122614" w:rsidRPr="006D0892">
        <w:rPr>
          <w:rFonts w:ascii="Arial" w:eastAsia="Arial" w:hAnsi="Arial" w:cs="Arial"/>
          <w:sz w:val="22"/>
          <w:szCs w:val="22"/>
        </w:rPr>
        <w:t>CG-A-28/2020</w:t>
      </w:r>
      <w:r w:rsidR="0039113F">
        <w:rPr>
          <w:rFonts w:ascii="Arial" w:eastAsia="Arial" w:hAnsi="Arial" w:cs="Arial"/>
          <w:sz w:val="22"/>
          <w:szCs w:val="22"/>
        </w:rPr>
        <w:t xml:space="preserve">, el plazo límite para realizar sustituciones libres ante la renuncia de una candidatura lo era el </w:t>
      </w:r>
      <w:r w:rsidR="000B25F9">
        <w:rPr>
          <w:rFonts w:ascii="Arial" w:eastAsia="Arial" w:hAnsi="Arial" w:cs="Arial"/>
          <w:sz w:val="22"/>
          <w:szCs w:val="22"/>
        </w:rPr>
        <w:t>17</w:t>
      </w:r>
      <w:r w:rsidR="0039113F">
        <w:rPr>
          <w:rFonts w:ascii="Arial" w:eastAsia="Arial" w:hAnsi="Arial" w:cs="Arial"/>
          <w:sz w:val="22"/>
          <w:szCs w:val="22"/>
        </w:rPr>
        <w:t xml:space="preserve"> de mayo</w:t>
      </w:r>
      <w:r w:rsidR="0047238C">
        <w:rPr>
          <w:rFonts w:ascii="Arial" w:eastAsia="Arial" w:hAnsi="Arial" w:cs="Arial"/>
          <w:sz w:val="22"/>
          <w:szCs w:val="22"/>
        </w:rPr>
        <w:t xml:space="preserve">, y en el Código Electoral, </w:t>
      </w:r>
      <w:r w:rsidR="00FD0CB0">
        <w:rPr>
          <w:rFonts w:ascii="Arial" w:eastAsia="Arial" w:hAnsi="Arial" w:cs="Arial"/>
          <w:sz w:val="22"/>
          <w:szCs w:val="22"/>
        </w:rPr>
        <w:t>resultaba</w:t>
      </w:r>
      <w:r w:rsidR="0047238C">
        <w:rPr>
          <w:rFonts w:ascii="Arial" w:eastAsia="Arial" w:hAnsi="Arial" w:cs="Arial"/>
          <w:sz w:val="22"/>
          <w:szCs w:val="22"/>
        </w:rPr>
        <w:t xml:space="preserve"> ser quince días antes de la </w:t>
      </w:r>
      <w:r w:rsidR="00FD0CB0">
        <w:rPr>
          <w:rFonts w:ascii="Arial" w:eastAsia="Arial" w:hAnsi="Arial" w:cs="Arial"/>
          <w:sz w:val="22"/>
          <w:szCs w:val="22"/>
        </w:rPr>
        <w:t>elección</w:t>
      </w:r>
      <w:r w:rsidR="000B25F9">
        <w:rPr>
          <w:rFonts w:ascii="Arial" w:eastAsia="Arial" w:hAnsi="Arial" w:cs="Arial"/>
          <w:sz w:val="22"/>
          <w:szCs w:val="22"/>
        </w:rPr>
        <w:t xml:space="preserve"> (21 de mayo)</w:t>
      </w:r>
      <w:r w:rsidR="0047238C">
        <w:rPr>
          <w:rFonts w:ascii="Arial" w:eastAsia="Arial" w:hAnsi="Arial" w:cs="Arial"/>
          <w:sz w:val="22"/>
          <w:szCs w:val="22"/>
        </w:rPr>
        <w:t xml:space="preserve">, y ante </w:t>
      </w:r>
      <w:r w:rsidR="002F0090">
        <w:rPr>
          <w:rFonts w:ascii="Arial" w:eastAsia="Arial" w:hAnsi="Arial" w:cs="Arial"/>
          <w:sz w:val="22"/>
          <w:szCs w:val="22"/>
        </w:rPr>
        <w:t>la confusión</w:t>
      </w:r>
      <w:r w:rsidR="0047238C">
        <w:rPr>
          <w:rFonts w:ascii="Arial" w:eastAsia="Arial" w:hAnsi="Arial" w:cs="Arial"/>
          <w:sz w:val="22"/>
          <w:szCs w:val="22"/>
        </w:rPr>
        <w:t xml:space="preserve"> de los términos, e</w:t>
      </w:r>
      <w:r w:rsidR="00FD0CB0">
        <w:rPr>
          <w:rFonts w:ascii="Arial" w:eastAsia="Arial" w:hAnsi="Arial" w:cs="Arial"/>
          <w:sz w:val="22"/>
          <w:szCs w:val="22"/>
        </w:rPr>
        <w:t>s presumib</w:t>
      </w:r>
      <w:r w:rsidR="0047238C">
        <w:rPr>
          <w:rFonts w:ascii="Arial" w:eastAsia="Arial" w:hAnsi="Arial" w:cs="Arial"/>
          <w:sz w:val="22"/>
          <w:szCs w:val="22"/>
        </w:rPr>
        <w:t>l</w:t>
      </w:r>
      <w:r w:rsidR="00FD0CB0">
        <w:rPr>
          <w:rFonts w:ascii="Arial" w:eastAsia="Arial" w:hAnsi="Arial" w:cs="Arial"/>
          <w:sz w:val="22"/>
          <w:szCs w:val="22"/>
        </w:rPr>
        <w:t>e que el</w:t>
      </w:r>
      <w:r w:rsidR="0047238C">
        <w:rPr>
          <w:rFonts w:ascii="Arial" w:eastAsia="Arial" w:hAnsi="Arial" w:cs="Arial"/>
          <w:sz w:val="22"/>
          <w:szCs w:val="22"/>
        </w:rPr>
        <w:t xml:space="preserve"> </w:t>
      </w:r>
      <w:r w:rsidR="00FD0CB0">
        <w:rPr>
          <w:rFonts w:ascii="Arial" w:eastAsia="Arial" w:hAnsi="Arial" w:cs="Arial"/>
          <w:sz w:val="22"/>
          <w:szCs w:val="22"/>
        </w:rPr>
        <w:t>PAN actuó tomando en consideración ambas reglas.</w:t>
      </w:r>
      <w:r w:rsidR="0047238C">
        <w:rPr>
          <w:rFonts w:ascii="Arial" w:eastAsia="Arial" w:hAnsi="Arial" w:cs="Arial"/>
          <w:sz w:val="22"/>
          <w:szCs w:val="22"/>
        </w:rPr>
        <w:t xml:space="preserve"> </w:t>
      </w:r>
    </w:p>
    <w:p w14:paraId="6622FFAF" w14:textId="692B4525" w:rsidR="00C93C8B" w:rsidRDefault="00C93C8B" w:rsidP="00732E61">
      <w:pPr>
        <w:spacing w:line="360" w:lineRule="auto"/>
        <w:jc w:val="both"/>
        <w:rPr>
          <w:rFonts w:ascii="Arial" w:eastAsia="Arial" w:hAnsi="Arial" w:cs="Arial"/>
          <w:sz w:val="22"/>
          <w:szCs w:val="22"/>
        </w:rPr>
      </w:pPr>
    </w:p>
    <w:p w14:paraId="3C089573" w14:textId="0247F0B8" w:rsidR="002532DC" w:rsidRDefault="002532DC" w:rsidP="00732E61">
      <w:pPr>
        <w:spacing w:line="360" w:lineRule="auto"/>
        <w:jc w:val="both"/>
        <w:rPr>
          <w:rFonts w:ascii="Arial" w:eastAsia="Arial" w:hAnsi="Arial" w:cs="Arial"/>
          <w:sz w:val="22"/>
          <w:szCs w:val="22"/>
        </w:rPr>
      </w:pPr>
      <w:r>
        <w:rPr>
          <w:rFonts w:ascii="Arial" w:eastAsia="Arial" w:hAnsi="Arial" w:cs="Arial"/>
          <w:sz w:val="22"/>
          <w:szCs w:val="22"/>
        </w:rPr>
        <w:lastRenderedPageBreak/>
        <w:t xml:space="preserve">Se suma, que </w:t>
      </w:r>
      <w:bookmarkStart w:id="14" w:name="_Hlk73444295"/>
      <w:r w:rsidRPr="00C66729">
        <w:rPr>
          <w:rFonts w:ascii="Arial" w:eastAsia="Arial" w:hAnsi="Arial" w:cs="Arial"/>
          <w:b/>
          <w:bCs/>
          <w:sz w:val="22"/>
          <w:szCs w:val="22"/>
        </w:rPr>
        <w:t xml:space="preserve">no existe un término </w:t>
      </w:r>
      <w:r w:rsidR="00EA0A06" w:rsidRPr="00C66729">
        <w:rPr>
          <w:rFonts w:ascii="Arial" w:eastAsia="Arial" w:hAnsi="Arial" w:cs="Arial"/>
          <w:b/>
          <w:bCs/>
          <w:sz w:val="22"/>
          <w:szCs w:val="22"/>
        </w:rPr>
        <w:t>específico</w:t>
      </w:r>
      <w:r w:rsidRPr="00C66729">
        <w:rPr>
          <w:rFonts w:ascii="Arial" w:eastAsia="Arial" w:hAnsi="Arial" w:cs="Arial"/>
          <w:b/>
          <w:bCs/>
          <w:sz w:val="22"/>
          <w:szCs w:val="22"/>
        </w:rPr>
        <w:t xml:space="preserve"> para la participación en un proceso de designación </w:t>
      </w:r>
      <w:r w:rsidR="00EA0A06" w:rsidRPr="00C66729">
        <w:rPr>
          <w:rFonts w:ascii="Arial" w:eastAsia="Arial" w:hAnsi="Arial" w:cs="Arial"/>
          <w:b/>
          <w:bCs/>
          <w:sz w:val="22"/>
          <w:szCs w:val="22"/>
        </w:rPr>
        <w:t>extraordinaria</w:t>
      </w:r>
      <w:r w:rsidRPr="00C66729">
        <w:rPr>
          <w:rFonts w:ascii="Arial" w:eastAsia="Arial" w:hAnsi="Arial" w:cs="Arial"/>
          <w:b/>
          <w:bCs/>
          <w:sz w:val="22"/>
          <w:szCs w:val="22"/>
        </w:rPr>
        <w:t xml:space="preserve"> de </w:t>
      </w:r>
      <w:r w:rsidR="00EA0A06" w:rsidRPr="00C66729">
        <w:rPr>
          <w:rFonts w:ascii="Arial" w:eastAsia="Arial" w:hAnsi="Arial" w:cs="Arial"/>
          <w:b/>
          <w:bCs/>
          <w:sz w:val="22"/>
          <w:szCs w:val="22"/>
        </w:rPr>
        <w:t>candidaturas</w:t>
      </w:r>
      <w:r w:rsidRPr="00C66729">
        <w:rPr>
          <w:rFonts w:ascii="Arial" w:eastAsia="Arial" w:hAnsi="Arial" w:cs="Arial"/>
          <w:b/>
          <w:bCs/>
          <w:sz w:val="22"/>
          <w:szCs w:val="22"/>
        </w:rPr>
        <w:t xml:space="preserve"> del PAN</w:t>
      </w:r>
      <w:bookmarkEnd w:id="14"/>
      <w:r w:rsidR="00EA0A06">
        <w:rPr>
          <w:rFonts w:ascii="Arial" w:eastAsia="Arial" w:hAnsi="Arial" w:cs="Arial"/>
          <w:sz w:val="22"/>
          <w:szCs w:val="22"/>
        </w:rPr>
        <w:t xml:space="preserve">, ante la renuncia de una de </w:t>
      </w:r>
      <w:r w:rsidR="00DE2926">
        <w:rPr>
          <w:rFonts w:ascii="Arial" w:eastAsia="Arial" w:hAnsi="Arial" w:cs="Arial"/>
          <w:sz w:val="22"/>
          <w:szCs w:val="22"/>
        </w:rPr>
        <w:t>ellas</w:t>
      </w:r>
      <w:r w:rsidR="00D15369">
        <w:rPr>
          <w:rFonts w:ascii="Arial" w:eastAsia="Arial" w:hAnsi="Arial" w:cs="Arial"/>
          <w:sz w:val="22"/>
          <w:szCs w:val="22"/>
        </w:rPr>
        <w:t xml:space="preserve"> y que, además, sus plazos </w:t>
      </w:r>
      <w:r>
        <w:rPr>
          <w:rFonts w:ascii="Arial" w:eastAsia="Arial" w:hAnsi="Arial" w:cs="Arial"/>
          <w:sz w:val="22"/>
          <w:szCs w:val="22"/>
        </w:rPr>
        <w:t xml:space="preserve">también </w:t>
      </w:r>
      <w:r w:rsidR="00EA0A06">
        <w:rPr>
          <w:rFonts w:ascii="Arial" w:eastAsia="Arial" w:hAnsi="Arial" w:cs="Arial"/>
          <w:sz w:val="22"/>
          <w:szCs w:val="22"/>
        </w:rPr>
        <w:t>se encuentra</w:t>
      </w:r>
      <w:r w:rsidR="00D15369">
        <w:rPr>
          <w:rFonts w:ascii="Arial" w:eastAsia="Arial" w:hAnsi="Arial" w:cs="Arial"/>
          <w:sz w:val="22"/>
          <w:szCs w:val="22"/>
        </w:rPr>
        <w:t>n</w:t>
      </w:r>
      <w:r w:rsidR="00EA0A06">
        <w:rPr>
          <w:rFonts w:ascii="Arial" w:eastAsia="Arial" w:hAnsi="Arial" w:cs="Arial"/>
          <w:sz w:val="22"/>
          <w:szCs w:val="22"/>
        </w:rPr>
        <w:t xml:space="preserve"> relacionado</w:t>
      </w:r>
      <w:r w:rsidR="00D15369">
        <w:rPr>
          <w:rFonts w:ascii="Arial" w:eastAsia="Arial" w:hAnsi="Arial" w:cs="Arial"/>
          <w:sz w:val="22"/>
          <w:szCs w:val="22"/>
        </w:rPr>
        <w:t>s</w:t>
      </w:r>
      <w:r w:rsidR="00EA0A06">
        <w:rPr>
          <w:rFonts w:ascii="Arial" w:eastAsia="Arial" w:hAnsi="Arial" w:cs="Arial"/>
          <w:sz w:val="22"/>
          <w:szCs w:val="22"/>
        </w:rPr>
        <w:t xml:space="preserve"> con las estrategias partidistas, dado que entre </w:t>
      </w:r>
      <w:r w:rsidR="008A7C70">
        <w:rPr>
          <w:rFonts w:ascii="Arial" w:eastAsia="Arial" w:hAnsi="Arial" w:cs="Arial"/>
          <w:sz w:val="22"/>
          <w:szCs w:val="22"/>
        </w:rPr>
        <w:t>mayor sea el tiempo que transcurra</w:t>
      </w:r>
      <w:r w:rsidR="00EA0A06">
        <w:rPr>
          <w:rFonts w:ascii="Arial" w:eastAsia="Arial" w:hAnsi="Arial" w:cs="Arial"/>
          <w:sz w:val="22"/>
          <w:szCs w:val="22"/>
        </w:rPr>
        <w:t xml:space="preserve"> sin candidatura, menor será la posibilidad de realizar actos proselitistas y contender por el voto del electorado</w:t>
      </w:r>
      <w:r w:rsidR="007869F8">
        <w:rPr>
          <w:rFonts w:ascii="Arial" w:eastAsia="Arial" w:hAnsi="Arial" w:cs="Arial"/>
          <w:sz w:val="22"/>
          <w:szCs w:val="22"/>
        </w:rPr>
        <w:t>, esto, ante lo avanzado del proceso.</w:t>
      </w:r>
    </w:p>
    <w:p w14:paraId="1ADDC437" w14:textId="48BD2B60" w:rsidR="008A7C70" w:rsidRDefault="008A7C70" w:rsidP="00732E61">
      <w:pPr>
        <w:spacing w:line="360" w:lineRule="auto"/>
        <w:jc w:val="both"/>
        <w:rPr>
          <w:rFonts w:ascii="Arial" w:eastAsia="Arial" w:hAnsi="Arial" w:cs="Arial"/>
          <w:sz w:val="22"/>
          <w:szCs w:val="22"/>
        </w:rPr>
      </w:pPr>
    </w:p>
    <w:p w14:paraId="1C35E0F6" w14:textId="7FC9E984" w:rsidR="008A7C70" w:rsidRDefault="008A7C70" w:rsidP="00732E61">
      <w:pPr>
        <w:spacing w:line="360" w:lineRule="auto"/>
        <w:jc w:val="both"/>
        <w:rPr>
          <w:rFonts w:ascii="Arial" w:eastAsia="Arial" w:hAnsi="Arial" w:cs="Arial"/>
          <w:sz w:val="22"/>
          <w:szCs w:val="22"/>
        </w:rPr>
      </w:pPr>
      <w:r>
        <w:rPr>
          <w:rFonts w:ascii="Arial" w:eastAsia="Arial" w:hAnsi="Arial" w:cs="Arial"/>
          <w:sz w:val="22"/>
          <w:szCs w:val="22"/>
        </w:rPr>
        <w:t xml:space="preserve">Por ello, aun y cuando el PAN considerara como fecha límite de </w:t>
      </w:r>
      <w:r w:rsidR="006D1EBA">
        <w:rPr>
          <w:rFonts w:ascii="Arial" w:eastAsia="Arial" w:hAnsi="Arial" w:cs="Arial"/>
          <w:sz w:val="22"/>
          <w:szCs w:val="22"/>
        </w:rPr>
        <w:t>sustitución</w:t>
      </w:r>
      <w:r>
        <w:rPr>
          <w:rFonts w:ascii="Arial" w:eastAsia="Arial" w:hAnsi="Arial" w:cs="Arial"/>
          <w:sz w:val="22"/>
          <w:szCs w:val="22"/>
        </w:rPr>
        <w:t xml:space="preserve"> la del 21 de mayo, </w:t>
      </w:r>
      <w:r w:rsidR="006D1EBA">
        <w:rPr>
          <w:rFonts w:ascii="Arial" w:eastAsia="Arial" w:hAnsi="Arial" w:cs="Arial"/>
          <w:sz w:val="22"/>
          <w:szCs w:val="22"/>
        </w:rPr>
        <w:t>ante la cercanía de la misma, y en suma con lo manifestado en el párrafo anterior, es que se encuentra justificado proceso de selección de candidaturas sumarísimo.</w:t>
      </w:r>
    </w:p>
    <w:p w14:paraId="00106046" w14:textId="77777777" w:rsidR="00006C9F" w:rsidRDefault="00006C9F" w:rsidP="00732E61">
      <w:pPr>
        <w:spacing w:line="360" w:lineRule="auto"/>
        <w:jc w:val="both"/>
        <w:rPr>
          <w:rFonts w:ascii="Arial" w:eastAsia="Arial" w:hAnsi="Arial" w:cs="Arial"/>
          <w:sz w:val="22"/>
          <w:szCs w:val="22"/>
        </w:rPr>
      </w:pPr>
    </w:p>
    <w:p w14:paraId="1364128E" w14:textId="7CB33C8D" w:rsidR="00C93C8B" w:rsidRDefault="00C93C8B" w:rsidP="00732E61">
      <w:pPr>
        <w:spacing w:line="360" w:lineRule="auto"/>
        <w:jc w:val="both"/>
        <w:rPr>
          <w:rFonts w:ascii="Arial" w:eastAsia="Arial" w:hAnsi="Arial" w:cs="Arial"/>
          <w:sz w:val="22"/>
          <w:szCs w:val="22"/>
        </w:rPr>
      </w:pPr>
      <w:r>
        <w:rPr>
          <w:rFonts w:ascii="Arial" w:eastAsia="Arial" w:hAnsi="Arial" w:cs="Arial"/>
          <w:sz w:val="22"/>
          <w:szCs w:val="22"/>
        </w:rPr>
        <w:t xml:space="preserve">Ahora bien, </w:t>
      </w:r>
      <w:r w:rsidR="00D15369">
        <w:rPr>
          <w:rFonts w:ascii="Arial" w:eastAsia="Arial" w:hAnsi="Arial" w:cs="Arial"/>
          <w:sz w:val="22"/>
          <w:szCs w:val="22"/>
        </w:rPr>
        <w:t xml:space="preserve">no pasa inadvertido que, </w:t>
      </w:r>
      <w:r>
        <w:rPr>
          <w:rFonts w:ascii="Arial" w:eastAsia="Arial" w:hAnsi="Arial" w:cs="Arial"/>
          <w:sz w:val="22"/>
          <w:szCs w:val="22"/>
        </w:rPr>
        <w:t xml:space="preserve">de revocarse las actuaciones que se recurren, ningún beneficio </w:t>
      </w:r>
      <w:r w:rsidR="005C6394">
        <w:rPr>
          <w:rFonts w:ascii="Arial" w:eastAsia="Arial" w:hAnsi="Arial" w:cs="Arial"/>
          <w:sz w:val="22"/>
          <w:szCs w:val="22"/>
        </w:rPr>
        <w:t>le</w:t>
      </w:r>
      <w:r>
        <w:rPr>
          <w:rFonts w:ascii="Arial" w:eastAsia="Arial" w:hAnsi="Arial" w:cs="Arial"/>
          <w:sz w:val="22"/>
          <w:szCs w:val="22"/>
        </w:rPr>
        <w:t xml:space="preserve"> generaría al accionante, </w:t>
      </w:r>
      <w:r w:rsidR="00797C20">
        <w:rPr>
          <w:rFonts w:ascii="Arial" w:eastAsia="Arial" w:hAnsi="Arial" w:cs="Arial"/>
          <w:sz w:val="22"/>
          <w:szCs w:val="22"/>
        </w:rPr>
        <w:t>dado que,</w:t>
      </w:r>
      <w:r>
        <w:rPr>
          <w:rFonts w:ascii="Arial" w:eastAsia="Arial" w:hAnsi="Arial" w:cs="Arial"/>
          <w:sz w:val="22"/>
          <w:szCs w:val="22"/>
        </w:rPr>
        <w:t xml:space="preserve"> </w:t>
      </w:r>
      <w:r w:rsidR="00015734">
        <w:rPr>
          <w:rFonts w:ascii="Arial" w:eastAsia="Arial" w:hAnsi="Arial" w:cs="Arial"/>
          <w:sz w:val="22"/>
          <w:szCs w:val="22"/>
        </w:rPr>
        <w:t xml:space="preserve">su pretensión final es participar en el proceso de designación y lograr así una candidatura, sin embargo, </w:t>
      </w:r>
      <w:r>
        <w:rPr>
          <w:rFonts w:ascii="Arial" w:eastAsia="Arial" w:hAnsi="Arial" w:cs="Arial"/>
          <w:sz w:val="22"/>
          <w:szCs w:val="22"/>
        </w:rPr>
        <w:t xml:space="preserve">por el avance natural del proceso electoral, </w:t>
      </w:r>
      <w:r w:rsidR="00BF4364">
        <w:rPr>
          <w:rFonts w:ascii="Arial" w:eastAsia="Arial" w:hAnsi="Arial" w:cs="Arial"/>
          <w:sz w:val="22"/>
          <w:szCs w:val="22"/>
        </w:rPr>
        <w:t xml:space="preserve">ya </w:t>
      </w:r>
      <w:r w:rsidR="005C6394">
        <w:rPr>
          <w:rFonts w:ascii="Arial" w:eastAsia="Arial" w:hAnsi="Arial" w:cs="Arial"/>
          <w:sz w:val="22"/>
          <w:szCs w:val="22"/>
        </w:rPr>
        <w:t xml:space="preserve">no </w:t>
      </w:r>
      <w:r w:rsidR="001E25A5">
        <w:rPr>
          <w:rFonts w:ascii="Arial" w:eastAsia="Arial" w:hAnsi="Arial" w:cs="Arial"/>
          <w:sz w:val="22"/>
          <w:szCs w:val="22"/>
        </w:rPr>
        <w:t>son viables las</w:t>
      </w:r>
      <w:r w:rsidR="005C6394">
        <w:rPr>
          <w:rFonts w:ascii="Arial" w:eastAsia="Arial" w:hAnsi="Arial" w:cs="Arial"/>
          <w:sz w:val="22"/>
          <w:szCs w:val="22"/>
        </w:rPr>
        <w:t xml:space="preserve"> sustituciones por renuncia.</w:t>
      </w:r>
    </w:p>
    <w:p w14:paraId="6FF71BCE" w14:textId="77777777" w:rsidR="0039113F" w:rsidRDefault="0039113F" w:rsidP="00732E61">
      <w:pPr>
        <w:spacing w:line="360" w:lineRule="auto"/>
        <w:jc w:val="both"/>
        <w:rPr>
          <w:rFonts w:ascii="Arial" w:eastAsia="Arial" w:hAnsi="Arial" w:cs="Arial"/>
          <w:sz w:val="22"/>
          <w:szCs w:val="22"/>
        </w:rPr>
      </w:pPr>
    </w:p>
    <w:p w14:paraId="5E0E601A" w14:textId="5ACDCCA4" w:rsidR="00C54E71" w:rsidRDefault="0039113F" w:rsidP="00732E61">
      <w:pPr>
        <w:spacing w:line="360" w:lineRule="auto"/>
        <w:jc w:val="both"/>
        <w:rPr>
          <w:rFonts w:ascii="Arial" w:hAnsi="Arial" w:cs="Arial"/>
          <w:sz w:val="22"/>
          <w:szCs w:val="22"/>
        </w:rPr>
      </w:pPr>
      <w:r>
        <w:rPr>
          <w:rFonts w:ascii="Arial" w:eastAsia="Arial" w:hAnsi="Arial" w:cs="Arial"/>
          <w:sz w:val="22"/>
          <w:szCs w:val="22"/>
        </w:rPr>
        <w:t>Motivado en lo anterior, es que se justifica la premura de la convocatoria</w:t>
      </w:r>
      <w:r w:rsidR="00923781">
        <w:rPr>
          <w:rFonts w:ascii="Arial" w:eastAsia="Arial" w:hAnsi="Arial" w:cs="Arial"/>
          <w:sz w:val="22"/>
          <w:szCs w:val="22"/>
        </w:rPr>
        <w:t xml:space="preserve"> y sus términos</w:t>
      </w:r>
      <w:r>
        <w:rPr>
          <w:rFonts w:ascii="Arial" w:eastAsia="Arial" w:hAnsi="Arial" w:cs="Arial"/>
          <w:sz w:val="22"/>
          <w:szCs w:val="22"/>
        </w:rPr>
        <w:t xml:space="preserve">, por lo que son </w:t>
      </w:r>
      <w:r w:rsidRPr="005C1D8F">
        <w:rPr>
          <w:rFonts w:ascii="Arial" w:eastAsia="Arial" w:hAnsi="Arial" w:cs="Arial"/>
          <w:b/>
          <w:bCs/>
          <w:sz w:val="22"/>
          <w:szCs w:val="22"/>
        </w:rPr>
        <w:t xml:space="preserve">infundados </w:t>
      </w:r>
      <w:r>
        <w:rPr>
          <w:rFonts w:ascii="Arial" w:eastAsia="Arial" w:hAnsi="Arial" w:cs="Arial"/>
          <w:sz w:val="22"/>
          <w:szCs w:val="22"/>
        </w:rPr>
        <w:t xml:space="preserve">lo agravios vertidos por el promovente. </w:t>
      </w:r>
      <w:r w:rsidR="00122614">
        <w:rPr>
          <w:rFonts w:ascii="Arial" w:hAnsi="Arial" w:cs="Arial"/>
          <w:sz w:val="22"/>
          <w:szCs w:val="22"/>
        </w:rPr>
        <w:t xml:space="preserve"> </w:t>
      </w:r>
    </w:p>
    <w:p w14:paraId="5C7A82B3" w14:textId="62F4ED4F" w:rsidR="008341A1" w:rsidRDefault="008341A1" w:rsidP="00732E61">
      <w:pPr>
        <w:spacing w:line="360" w:lineRule="auto"/>
        <w:jc w:val="both"/>
        <w:rPr>
          <w:rFonts w:ascii="Arial" w:hAnsi="Arial" w:cs="Arial"/>
          <w:sz w:val="22"/>
          <w:szCs w:val="22"/>
        </w:rPr>
      </w:pPr>
    </w:p>
    <w:p w14:paraId="3BC1C01D" w14:textId="75BDD649" w:rsidR="00B200C6" w:rsidRDefault="00923781" w:rsidP="00F11C5F">
      <w:pPr>
        <w:pStyle w:val="Ttulo1"/>
        <w:keepLines w:val="0"/>
        <w:spacing w:before="0" w:line="360" w:lineRule="auto"/>
        <w:jc w:val="both"/>
        <w:rPr>
          <w:rFonts w:ascii="Arial" w:eastAsia="Times New Roman" w:hAnsi="Arial" w:cs="Arial"/>
          <w:b/>
          <w:bCs/>
          <w:color w:val="auto"/>
          <w:sz w:val="22"/>
          <w:szCs w:val="22"/>
        </w:rPr>
      </w:pPr>
      <w:r>
        <w:rPr>
          <w:rFonts w:ascii="Arial" w:eastAsia="Times New Roman" w:hAnsi="Arial" w:cs="Arial"/>
          <w:b/>
          <w:bCs/>
          <w:color w:val="auto"/>
          <w:sz w:val="22"/>
          <w:szCs w:val="22"/>
        </w:rPr>
        <w:t>6</w:t>
      </w:r>
      <w:r w:rsidR="00F11C5F" w:rsidRPr="002139AB">
        <w:rPr>
          <w:rFonts w:ascii="Arial" w:eastAsia="Times New Roman" w:hAnsi="Arial" w:cs="Arial"/>
          <w:b/>
          <w:bCs/>
          <w:color w:val="auto"/>
          <w:sz w:val="22"/>
          <w:szCs w:val="22"/>
        </w:rPr>
        <w:t xml:space="preserve">. </w:t>
      </w:r>
      <w:bookmarkStart w:id="15" w:name="_Toc69406592"/>
      <w:r w:rsidR="00B200C6" w:rsidRPr="002139AB">
        <w:rPr>
          <w:rFonts w:ascii="Arial" w:eastAsia="Times New Roman" w:hAnsi="Arial" w:cs="Arial"/>
          <w:b/>
          <w:bCs/>
          <w:color w:val="auto"/>
          <w:sz w:val="22"/>
          <w:szCs w:val="22"/>
        </w:rPr>
        <w:t>RESOLUTIVOS</w:t>
      </w:r>
      <w:bookmarkEnd w:id="15"/>
    </w:p>
    <w:p w14:paraId="1E63E930" w14:textId="4FD07684" w:rsidR="00C54E71" w:rsidRPr="00C54E71" w:rsidRDefault="00C54E71" w:rsidP="00C54E71">
      <w:pPr>
        <w:rPr>
          <w:rFonts w:ascii="Arial" w:hAnsi="Arial" w:cs="Arial"/>
          <w:sz w:val="22"/>
          <w:szCs w:val="22"/>
        </w:rPr>
      </w:pPr>
    </w:p>
    <w:p w14:paraId="0B5F9560" w14:textId="75457D57" w:rsidR="00C54E71" w:rsidRPr="00C54E71" w:rsidRDefault="001E27FF" w:rsidP="007D6C5A">
      <w:pPr>
        <w:spacing w:line="360" w:lineRule="auto"/>
        <w:jc w:val="both"/>
        <w:rPr>
          <w:rFonts w:ascii="Arial" w:hAnsi="Arial" w:cs="Arial"/>
          <w:sz w:val="22"/>
          <w:szCs w:val="22"/>
        </w:rPr>
      </w:pPr>
      <w:r>
        <w:rPr>
          <w:rFonts w:ascii="Arial" w:hAnsi="Arial" w:cs="Arial"/>
          <w:b/>
          <w:bCs/>
          <w:sz w:val="22"/>
          <w:szCs w:val="22"/>
        </w:rPr>
        <w:t>ÚNICO</w:t>
      </w:r>
      <w:r w:rsidR="00C54E71" w:rsidRPr="00C54E71">
        <w:rPr>
          <w:rFonts w:ascii="Arial" w:hAnsi="Arial" w:cs="Arial"/>
          <w:b/>
          <w:bCs/>
          <w:sz w:val="22"/>
          <w:szCs w:val="22"/>
        </w:rPr>
        <w:t>.</w:t>
      </w:r>
      <w:r w:rsidR="00C54E71" w:rsidRPr="00C54E71">
        <w:rPr>
          <w:rFonts w:ascii="Arial" w:hAnsi="Arial" w:cs="Arial"/>
          <w:sz w:val="22"/>
          <w:szCs w:val="22"/>
        </w:rPr>
        <w:t xml:space="preserve"> </w:t>
      </w:r>
      <w:r>
        <w:rPr>
          <w:rFonts w:ascii="Arial" w:hAnsi="Arial" w:cs="Arial"/>
          <w:sz w:val="22"/>
          <w:szCs w:val="22"/>
        </w:rPr>
        <w:t>Se confirma</w:t>
      </w:r>
      <w:r w:rsidR="00923781">
        <w:rPr>
          <w:rFonts w:ascii="Arial" w:hAnsi="Arial" w:cs="Arial"/>
          <w:sz w:val="22"/>
          <w:szCs w:val="22"/>
        </w:rPr>
        <w:t>n</w:t>
      </w:r>
      <w:r>
        <w:rPr>
          <w:rFonts w:ascii="Arial" w:hAnsi="Arial" w:cs="Arial"/>
          <w:sz w:val="22"/>
          <w:szCs w:val="22"/>
        </w:rPr>
        <w:t xml:space="preserve"> las actuaciones </w:t>
      </w:r>
      <w:r w:rsidRPr="00321058">
        <w:rPr>
          <w:rFonts w:ascii="Arial" w:eastAsia="Arial" w:hAnsi="Arial" w:cs="Arial"/>
          <w:bCs/>
          <w:sz w:val="22"/>
          <w:szCs w:val="22"/>
        </w:rPr>
        <w:t>SG/354/2021</w:t>
      </w:r>
      <w:r>
        <w:rPr>
          <w:rFonts w:ascii="Arial" w:eastAsia="Arial" w:hAnsi="Arial" w:cs="Arial"/>
          <w:bCs/>
          <w:sz w:val="22"/>
          <w:szCs w:val="22"/>
        </w:rPr>
        <w:t xml:space="preserve">, </w:t>
      </w:r>
      <w:r w:rsidRPr="00321058">
        <w:rPr>
          <w:rFonts w:ascii="Arial" w:eastAsia="Arial" w:hAnsi="Arial" w:cs="Arial"/>
          <w:bCs/>
          <w:sz w:val="22"/>
          <w:szCs w:val="22"/>
        </w:rPr>
        <w:t>SG/355/2021</w:t>
      </w:r>
      <w:r>
        <w:rPr>
          <w:rFonts w:ascii="Arial" w:eastAsia="Arial" w:hAnsi="Arial" w:cs="Arial"/>
          <w:bCs/>
          <w:sz w:val="22"/>
          <w:szCs w:val="22"/>
        </w:rPr>
        <w:t xml:space="preserve">, </w:t>
      </w:r>
      <w:r w:rsidRPr="00321058">
        <w:rPr>
          <w:rFonts w:ascii="Arial" w:eastAsia="Arial" w:hAnsi="Arial" w:cs="Arial"/>
          <w:bCs/>
          <w:sz w:val="22"/>
          <w:szCs w:val="22"/>
        </w:rPr>
        <w:t>SG/35</w:t>
      </w:r>
      <w:r>
        <w:rPr>
          <w:rFonts w:ascii="Arial" w:eastAsia="Arial" w:hAnsi="Arial" w:cs="Arial"/>
          <w:bCs/>
          <w:sz w:val="22"/>
          <w:szCs w:val="22"/>
        </w:rPr>
        <w:t>7</w:t>
      </w:r>
      <w:r w:rsidRPr="00321058">
        <w:rPr>
          <w:rFonts w:ascii="Arial" w:eastAsia="Arial" w:hAnsi="Arial" w:cs="Arial"/>
          <w:bCs/>
          <w:sz w:val="22"/>
          <w:szCs w:val="22"/>
        </w:rPr>
        <w:t xml:space="preserve">/2021 </w:t>
      </w:r>
      <w:r>
        <w:rPr>
          <w:rFonts w:ascii="Arial" w:eastAsia="Arial" w:hAnsi="Arial" w:cs="Arial"/>
          <w:bCs/>
          <w:sz w:val="22"/>
          <w:szCs w:val="22"/>
        </w:rPr>
        <w:t xml:space="preserve">y </w:t>
      </w:r>
      <w:r w:rsidR="00797C20">
        <w:rPr>
          <w:rFonts w:ascii="Arial" w:eastAsia="Arial" w:hAnsi="Arial" w:cs="Arial"/>
          <w:bCs/>
          <w:sz w:val="22"/>
          <w:szCs w:val="22"/>
        </w:rPr>
        <w:t xml:space="preserve">el Acta de sesión extraordinaria NO.005/CPE/2021, en lo que fueron materia de impugnación. </w:t>
      </w:r>
    </w:p>
    <w:p w14:paraId="7E552B00" w14:textId="77777777" w:rsidR="00083F5A" w:rsidRPr="002139AB" w:rsidRDefault="00083F5A">
      <w:pPr>
        <w:spacing w:line="360" w:lineRule="auto"/>
        <w:jc w:val="both"/>
        <w:rPr>
          <w:rFonts w:ascii="Arial" w:eastAsia="Arial" w:hAnsi="Arial" w:cs="Arial"/>
          <w:sz w:val="22"/>
          <w:szCs w:val="22"/>
        </w:rPr>
      </w:pPr>
    </w:p>
    <w:p w14:paraId="16C021A2" w14:textId="77777777" w:rsidR="0028404C" w:rsidRPr="002139AB" w:rsidRDefault="00EA44A4">
      <w:pPr>
        <w:pBdr>
          <w:top w:val="nil"/>
          <w:left w:val="nil"/>
          <w:bottom w:val="nil"/>
          <w:right w:val="nil"/>
          <w:between w:val="nil"/>
        </w:pBdr>
        <w:spacing w:line="360" w:lineRule="auto"/>
        <w:jc w:val="both"/>
        <w:rPr>
          <w:rFonts w:ascii="Arial" w:eastAsia="Arial" w:hAnsi="Arial" w:cs="Arial"/>
          <w:sz w:val="22"/>
          <w:szCs w:val="22"/>
        </w:rPr>
      </w:pPr>
      <w:r w:rsidRPr="002139AB">
        <w:rPr>
          <w:rFonts w:ascii="Arial" w:eastAsia="Arial" w:hAnsi="Arial" w:cs="Arial"/>
          <w:b/>
          <w:sz w:val="22"/>
          <w:szCs w:val="22"/>
        </w:rPr>
        <w:t xml:space="preserve">NOTIFÍQUESE </w:t>
      </w:r>
      <w:r w:rsidRPr="002139AB">
        <w:rPr>
          <w:rFonts w:ascii="Arial" w:eastAsia="Arial" w:hAnsi="Arial" w:cs="Arial"/>
          <w:sz w:val="22"/>
          <w:szCs w:val="22"/>
        </w:rPr>
        <w:t xml:space="preserve">como en derecho corresponda y en su oportunidad archívese el presente expediente como asunto concluido. </w:t>
      </w:r>
    </w:p>
    <w:p w14:paraId="63D706E9" w14:textId="77777777" w:rsidR="0028404C" w:rsidRPr="002139AB" w:rsidRDefault="0028404C">
      <w:pPr>
        <w:pBdr>
          <w:top w:val="nil"/>
          <w:left w:val="nil"/>
          <w:bottom w:val="nil"/>
          <w:right w:val="nil"/>
          <w:between w:val="nil"/>
        </w:pBdr>
        <w:spacing w:line="360" w:lineRule="auto"/>
        <w:jc w:val="both"/>
        <w:rPr>
          <w:rFonts w:ascii="Arial" w:eastAsia="Arial" w:hAnsi="Arial" w:cs="Arial"/>
          <w:sz w:val="22"/>
          <w:szCs w:val="22"/>
        </w:rPr>
      </w:pPr>
    </w:p>
    <w:p w14:paraId="61E7F214" w14:textId="48F8C13B" w:rsidR="007D6C5A" w:rsidRDefault="00EA44A4">
      <w:pPr>
        <w:pBdr>
          <w:top w:val="nil"/>
          <w:left w:val="nil"/>
          <w:bottom w:val="nil"/>
          <w:right w:val="nil"/>
          <w:between w:val="nil"/>
        </w:pBdr>
        <w:spacing w:line="360" w:lineRule="auto"/>
        <w:jc w:val="both"/>
        <w:rPr>
          <w:rFonts w:ascii="Arial" w:eastAsia="Arial" w:hAnsi="Arial" w:cs="Arial"/>
          <w:sz w:val="23"/>
          <w:szCs w:val="23"/>
        </w:rPr>
      </w:pPr>
      <w:r w:rsidRPr="001F7A19">
        <w:rPr>
          <w:rFonts w:ascii="Arial" w:eastAsia="Arial" w:hAnsi="Arial" w:cs="Arial"/>
          <w:sz w:val="23"/>
          <w:szCs w:val="23"/>
        </w:rPr>
        <w:t xml:space="preserve">Así lo resolvió el Tribunal Electoral del Estado de Aguascalientes, por unanimidad de votos de las Magistradas y el Magistrado que lo integran, ante el </w:t>
      </w:r>
      <w:proofErr w:type="gramStart"/>
      <w:r w:rsidRPr="001F7A19">
        <w:rPr>
          <w:rFonts w:ascii="Arial" w:eastAsia="Arial" w:hAnsi="Arial" w:cs="Arial"/>
          <w:sz w:val="23"/>
          <w:szCs w:val="23"/>
        </w:rPr>
        <w:t>Secretario General</w:t>
      </w:r>
      <w:proofErr w:type="gramEnd"/>
      <w:r w:rsidRPr="001F7A19">
        <w:rPr>
          <w:rFonts w:ascii="Arial" w:eastAsia="Arial" w:hAnsi="Arial" w:cs="Arial"/>
          <w:sz w:val="23"/>
          <w:szCs w:val="23"/>
        </w:rPr>
        <w:t xml:space="preserve"> de Acuerdos, quien autoriza y da fe.  </w:t>
      </w:r>
    </w:p>
    <w:tbl>
      <w:tblPr>
        <w:tblStyle w:val="a2"/>
        <w:tblW w:w="92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05"/>
        <w:gridCol w:w="4613"/>
      </w:tblGrid>
      <w:tr w:rsidR="0028404C" w:rsidRPr="001F7A19" w14:paraId="7BA7A31D" w14:textId="77777777" w:rsidTr="009259F1">
        <w:trPr>
          <w:trHeight w:val="1764"/>
        </w:trPr>
        <w:tc>
          <w:tcPr>
            <w:tcW w:w="9218" w:type="dxa"/>
            <w:gridSpan w:val="2"/>
          </w:tcPr>
          <w:p w14:paraId="32D6DA6B" w14:textId="245DAB0A"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MAGISTRADA PRESIDENTA</w:t>
            </w:r>
          </w:p>
          <w:p w14:paraId="6B2EFA4F" w14:textId="77777777" w:rsidR="0028404C" w:rsidRPr="001F7A19" w:rsidRDefault="0028404C">
            <w:pPr>
              <w:pBdr>
                <w:top w:val="nil"/>
                <w:left w:val="nil"/>
                <w:bottom w:val="nil"/>
                <w:right w:val="nil"/>
                <w:between w:val="nil"/>
              </w:pBdr>
              <w:spacing w:line="360" w:lineRule="auto"/>
              <w:jc w:val="center"/>
              <w:rPr>
                <w:rFonts w:ascii="Arial" w:eastAsia="Arial" w:hAnsi="Arial" w:cs="Arial"/>
                <w:b/>
                <w:sz w:val="23"/>
                <w:szCs w:val="23"/>
              </w:rPr>
            </w:pPr>
          </w:p>
          <w:p w14:paraId="04458FBB" w14:textId="77777777"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CLAUDIA ELOISA DÍAZ DE LEÓN GONZÁLEZ</w:t>
            </w:r>
          </w:p>
        </w:tc>
      </w:tr>
      <w:tr w:rsidR="0028404C" w:rsidRPr="001F7A19" w14:paraId="5D88F305" w14:textId="77777777" w:rsidTr="009259F1">
        <w:trPr>
          <w:trHeight w:val="1791"/>
        </w:trPr>
        <w:tc>
          <w:tcPr>
            <w:tcW w:w="4605" w:type="dxa"/>
          </w:tcPr>
          <w:p w14:paraId="692999DA" w14:textId="38776F42"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MAGISTRADA</w:t>
            </w:r>
          </w:p>
          <w:p w14:paraId="2CBF8840" w14:textId="4AC0F75B" w:rsidR="0028404C" w:rsidRPr="001F7A19" w:rsidRDefault="0028404C">
            <w:pPr>
              <w:pBdr>
                <w:top w:val="nil"/>
                <w:left w:val="nil"/>
                <w:bottom w:val="nil"/>
                <w:right w:val="nil"/>
                <w:between w:val="nil"/>
              </w:pBdr>
              <w:spacing w:line="360" w:lineRule="auto"/>
              <w:jc w:val="center"/>
              <w:rPr>
                <w:rFonts w:ascii="Arial" w:eastAsia="Arial" w:hAnsi="Arial" w:cs="Arial"/>
                <w:b/>
                <w:sz w:val="23"/>
                <w:szCs w:val="23"/>
              </w:rPr>
            </w:pPr>
          </w:p>
          <w:p w14:paraId="4ADAD199" w14:textId="78DA35D5"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 xml:space="preserve">LAURA HORTENSIA </w:t>
            </w:r>
          </w:p>
          <w:p w14:paraId="47A7A5F6" w14:textId="77777777"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LLAMAS HERNÁNDEZ</w:t>
            </w:r>
          </w:p>
        </w:tc>
        <w:tc>
          <w:tcPr>
            <w:tcW w:w="4613" w:type="dxa"/>
          </w:tcPr>
          <w:p w14:paraId="05969DDF" w14:textId="29790FBE"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MAGISTRADO</w:t>
            </w:r>
          </w:p>
          <w:p w14:paraId="09E3AA94" w14:textId="77777777" w:rsidR="0028404C" w:rsidRPr="001F7A19" w:rsidRDefault="0028404C">
            <w:pPr>
              <w:pBdr>
                <w:top w:val="nil"/>
                <w:left w:val="nil"/>
                <w:bottom w:val="nil"/>
                <w:right w:val="nil"/>
                <w:between w:val="nil"/>
              </w:pBdr>
              <w:spacing w:line="360" w:lineRule="auto"/>
              <w:jc w:val="center"/>
              <w:rPr>
                <w:rFonts w:ascii="Arial" w:eastAsia="Arial" w:hAnsi="Arial" w:cs="Arial"/>
                <w:b/>
                <w:sz w:val="23"/>
                <w:szCs w:val="23"/>
              </w:rPr>
            </w:pPr>
          </w:p>
          <w:p w14:paraId="7E13B0BA" w14:textId="77777777"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 xml:space="preserve">HÉCTOR SALVADOR </w:t>
            </w:r>
          </w:p>
          <w:p w14:paraId="1E55CFD6" w14:textId="77777777" w:rsidR="0028404C"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HERNÁNDEZ GALLEGOS</w:t>
            </w:r>
          </w:p>
          <w:p w14:paraId="546FBBEA" w14:textId="2F3EFBFC" w:rsidR="009259F1" w:rsidRPr="001F7A19" w:rsidRDefault="009259F1">
            <w:pPr>
              <w:pBdr>
                <w:top w:val="nil"/>
                <w:left w:val="nil"/>
                <w:bottom w:val="nil"/>
                <w:right w:val="nil"/>
                <w:between w:val="nil"/>
              </w:pBdr>
              <w:spacing w:line="360" w:lineRule="auto"/>
              <w:jc w:val="center"/>
              <w:rPr>
                <w:rFonts w:ascii="Arial" w:eastAsia="Arial" w:hAnsi="Arial" w:cs="Arial"/>
                <w:b/>
                <w:sz w:val="23"/>
                <w:szCs w:val="23"/>
              </w:rPr>
            </w:pPr>
          </w:p>
        </w:tc>
      </w:tr>
      <w:tr w:rsidR="0028404C" w:rsidRPr="001F7A19" w14:paraId="2429D256" w14:textId="77777777" w:rsidTr="009259F1">
        <w:trPr>
          <w:trHeight w:val="1434"/>
        </w:trPr>
        <w:tc>
          <w:tcPr>
            <w:tcW w:w="9218" w:type="dxa"/>
            <w:gridSpan w:val="2"/>
          </w:tcPr>
          <w:p w14:paraId="516EC884" w14:textId="0A19C3C9" w:rsidR="0028404C" w:rsidRPr="001F7A19" w:rsidRDefault="00EA44A4">
            <w:pPr>
              <w:pBdr>
                <w:top w:val="nil"/>
                <w:left w:val="nil"/>
                <w:bottom w:val="nil"/>
                <w:right w:val="nil"/>
                <w:between w:val="nil"/>
              </w:pBdr>
              <w:spacing w:line="360" w:lineRule="auto"/>
              <w:jc w:val="center"/>
              <w:rPr>
                <w:rFonts w:ascii="Arial" w:eastAsia="Arial" w:hAnsi="Arial" w:cs="Arial"/>
                <w:b/>
                <w:sz w:val="23"/>
                <w:szCs w:val="23"/>
              </w:rPr>
            </w:pPr>
            <w:r w:rsidRPr="001F7A19">
              <w:rPr>
                <w:rFonts w:ascii="Arial" w:eastAsia="Arial" w:hAnsi="Arial" w:cs="Arial"/>
                <w:b/>
                <w:sz w:val="23"/>
                <w:szCs w:val="23"/>
              </w:rPr>
              <w:t xml:space="preserve">    SECRETARIO DE ACUERDOS</w:t>
            </w:r>
          </w:p>
          <w:p w14:paraId="3F6F23D7" w14:textId="77777777" w:rsidR="0028404C" w:rsidRPr="001F7A19" w:rsidRDefault="0028404C">
            <w:pPr>
              <w:pBdr>
                <w:top w:val="nil"/>
                <w:left w:val="nil"/>
                <w:bottom w:val="nil"/>
                <w:right w:val="nil"/>
                <w:between w:val="nil"/>
              </w:pBdr>
              <w:spacing w:line="360" w:lineRule="auto"/>
              <w:jc w:val="center"/>
              <w:rPr>
                <w:rFonts w:ascii="Arial" w:eastAsia="Arial" w:hAnsi="Arial" w:cs="Arial"/>
                <w:b/>
                <w:sz w:val="23"/>
                <w:szCs w:val="23"/>
              </w:rPr>
            </w:pPr>
          </w:p>
          <w:p w14:paraId="25BECF77" w14:textId="1D2E1830" w:rsidR="0028404C" w:rsidRPr="001F7A19" w:rsidRDefault="00732255">
            <w:pPr>
              <w:pBdr>
                <w:top w:val="nil"/>
                <w:left w:val="nil"/>
                <w:bottom w:val="nil"/>
                <w:right w:val="nil"/>
                <w:between w:val="nil"/>
              </w:pBdr>
              <w:spacing w:line="360" w:lineRule="auto"/>
              <w:jc w:val="center"/>
              <w:rPr>
                <w:rFonts w:ascii="Arial" w:eastAsia="Arial" w:hAnsi="Arial" w:cs="Arial"/>
                <w:b/>
                <w:sz w:val="23"/>
                <w:szCs w:val="23"/>
              </w:rPr>
            </w:pPr>
            <w:r>
              <w:rPr>
                <w:rFonts w:ascii="Arial" w:eastAsia="Arial" w:hAnsi="Arial" w:cs="Arial"/>
                <w:b/>
                <w:sz w:val="23"/>
                <w:szCs w:val="23"/>
              </w:rPr>
              <w:t xml:space="preserve">    </w:t>
            </w:r>
            <w:r w:rsidR="00EA44A4" w:rsidRPr="001F7A19">
              <w:rPr>
                <w:rFonts w:ascii="Arial" w:eastAsia="Arial" w:hAnsi="Arial" w:cs="Arial"/>
                <w:b/>
                <w:sz w:val="23"/>
                <w:szCs w:val="23"/>
              </w:rPr>
              <w:t>JESÚS OCIEL BAENA SUCEDO</w:t>
            </w:r>
          </w:p>
        </w:tc>
      </w:tr>
      <w:bookmarkEnd w:id="1"/>
    </w:tbl>
    <w:p w14:paraId="0BCD51C7" w14:textId="64439E9B" w:rsidR="0028404C" w:rsidRPr="00644D39" w:rsidRDefault="0028404C">
      <w:pPr>
        <w:tabs>
          <w:tab w:val="left" w:pos="4320"/>
        </w:tabs>
        <w:rPr>
          <w:rFonts w:ascii="Arial" w:eastAsia="Arial" w:hAnsi="Arial" w:cs="Arial"/>
          <w:sz w:val="22"/>
          <w:szCs w:val="22"/>
        </w:rPr>
      </w:pPr>
    </w:p>
    <w:sectPr w:rsidR="0028404C" w:rsidRPr="00644D39">
      <w:headerReference w:type="even" r:id="rId15"/>
      <w:headerReference w:type="default" r:id="rId16"/>
      <w:footerReference w:type="even" r:id="rId17"/>
      <w:footerReference w:type="default" r:id="rId18"/>
      <w:headerReference w:type="first" r:id="rId19"/>
      <w:footerReference w:type="first" r:id="rId20"/>
      <w:pgSz w:w="12240" w:h="20160"/>
      <w:pgMar w:top="2552"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18A75" w14:textId="77777777" w:rsidR="00B810E4" w:rsidRDefault="00B810E4">
      <w:r>
        <w:separator/>
      </w:r>
    </w:p>
  </w:endnote>
  <w:endnote w:type="continuationSeparator" w:id="0">
    <w:p w14:paraId="79D0CA12" w14:textId="77777777" w:rsidR="00B810E4" w:rsidRDefault="00B8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15E" w14:textId="77777777" w:rsidR="00563E3F" w:rsidRDefault="00563E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6796" w14:textId="77777777" w:rsidR="00C41D29" w:rsidRDefault="00C41D29">
    <w:pPr>
      <w:pBdr>
        <w:top w:val="nil"/>
        <w:left w:val="nil"/>
        <w:bottom w:val="nil"/>
        <w:right w:val="nil"/>
        <w:between w:val="nil"/>
      </w:pBdr>
      <w:tabs>
        <w:tab w:val="center" w:pos="4419"/>
        <w:tab w:val="right" w:pos="8838"/>
      </w:tabs>
      <w:rPr>
        <w:color w:val="000000"/>
      </w:rPr>
    </w:pP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6581" w14:textId="77777777" w:rsidR="00563E3F" w:rsidRDefault="00563E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47EEA" w14:textId="77777777" w:rsidR="00B810E4" w:rsidRDefault="00B810E4">
      <w:r>
        <w:separator/>
      </w:r>
    </w:p>
  </w:footnote>
  <w:footnote w:type="continuationSeparator" w:id="0">
    <w:p w14:paraId="44D08F0A" w14:textId="77777777" w:rsidR="00B810E4" w:rsidRDefault="00B810E4">
      <w:r>
        <w:continuationSeparator/>
      </w:r>
    </w:p>
  </w:footnote>
  <w:footnote w:id="1">
    <w:p w14:paraId="4E133167" w14:textId="77777777" w:rsidR="00C41D29" w:rsidRPr="00360D40" w:rsidRDefault="00C41D29">
      <w:pPr>
        <w:pBdr>
          <w:top w:val="nil"/>
          <w:left w:val="nil"/>
          <w:bottom w:val="nil"/>
          <w:right w:val="nil"/>
          <w:between w:val="nil"/>
        </w:pBdr>
        <w:rPr>
          <w:rFonts w:ascii="Arial" w:eastAsia="Arial" w:hAnsi="Arial" w:cs="Arial"/>
          <w:color w:val="000000"/>
          <w:sz w:val="18"/>
          <w:szCs w:val="18"/>
        </w:rPr>
      </w:pPr>
      <w:r w:rsidRPr="00360D40">
        <w:rPr>
          <w:rFonts w:ascii="Arial" w:hAnsi="Arial" w:cs="Arial"/>
          <w:sz w:val="18"/>
          <w:szCs w:val="18"/>
          <w:vertAlign w:val="superscript"/>
        </w:rPr>
        <w:footnoteRef/>
      </w:r>
      <w:r w:rsidRPr="00360D40">
        <w:rPr>
          <w:rFonts w:ascii="Arial" w:eastAsia="Arial" w:hAnsi="Arial" w:cs="Arial"/>
          <w:color w:val="000000"/>
          <w:sz w:val="18"/>
          <w:szCs w:val="18"/>
        </w:rPr>
        <w:t xml:space="preserve"> Todas las fechas corresponden al dos </w:t>
      </w:r>
      <w:proofErr w:type="gramStart"/>
      <w:r w:rsidRPr="00360D40">
        <w:rPr>
          <w:rFonts w:ascii="Arial" w:eastAsia="Arial" w:hAnsi="Arial" w:cs="Arial"/>
          <w:color w:val="000000"/>
          <w:sz w:val="18"/>
          <w:szCs w:val="18"/>
        </w:rPr>
        <w:t>mil veintiuno</w:t>
      </w:r>
      <w:proofErr w:type="gramEnd"/>
      <w:r w:rsidRPr="00360D40">
        <w:rPr>
          <w:rFonts w:ascii="Arial" w:eastAsia="Arial" w:hAnsi="Arial" w:cs="Arial"/>
          <w:color w:val="000000"/>
          <w:sz w:val="18"/>
          <w:szCs w:val="18"/>
        </w:rPr>
        <w:t xml:space="preserve"> salvo precisión en lo contrario.</w:t>
      </w:r>
    </w:p>
  </w:footnote>
  <w:footnote w:id="2">
    <w:p w14:paraId="171346B4" w14:textId="16CDF5D4" w:rsidR="0012746D" w:rsidRPr="0012746D" w:rsidRDefault="0012746D" w:rsidP="0012746D">
      <w:pPr>
        <w:pStyle w:val="Textonotapie"/>
        <w:jc w:val="both"/>
        <w:rPr>
          <w:rFonts w:ascii="Arial" w:hAnsi="Arial" w:cs="Arial"/>
          <w:sz w:val="18"/>
          <w:szCs w:val="18"/>
        </w:rPr>
      </w:pPr>
      <w:r w:rsidRPr="0012746D">
        <w:rPr>
          <w:rStyle w:val="Refdenotaalpie"/>
          <w:rFonts w:ascii="Arial" w:hAnsi="Arial" w:cs="Arial"/>
          <w:sz w:val="18"/>
          <w:szCs w:val="18"/>
        </w:rPr>
        <w:footnoteRef/>
      </w:r>
      <w:r w:rsidRPr="0012746D">
        <w:rPr>
          <w:rFonts w:ascii="Arial" w:hAnsi="Arial" w:cs="Arial"/>
          <w:sz w:val="18"/>
          <w:szCs w:val="18"/>
        </w:rPr>
        <w:t xml:space="preserve"> “PROVIDENCIAS EMITIDAS POR EL PRESIDENTE NACIONAL, POR LAS QUE SE AUTORIZA LA EMISIÓN DE LA INVITACIÓN DIRIG</w:t>
      </w:r>
      <w:r>
        <w:rPr>
          <w:rFonts w:ascii="Arial" w:hAnsi="Arial" w:cs="Arial"/>
          <w:sz w:val="18"/>
          <w:szCs w:val="18"/>
        </w:rPr>
        <w:t>I</w:t>
      </w:r>
      <w:r w:rsidRPr="0012746D">
        <w:rPr>
          <w:rFonts w:ascii="Arial" w:hAnsi="Arial" w:cs="Arial"/>
          <w:sz w:val="18"/>
          <w:szCs w:val="18"/>
        </w:rPr>
        <w:t>DA A TODOS LOS MILITANTES DEL PARTIDO ACCIÓN NACIONAL Y A LA CIUDADANÍA EN GENERAL DEL ESTADO DE AGUASCALIENTES, A PARTICIPAR EN EL PROCESO INTERNO DE DESIGNACIÓN DE LAS CANDIDATURAS A LAS DIPUTACIONES LOCALES POR EL PRINCIPIO DE MAYORÍA RELATIVA, ASÍ COMO DE INTEGRANTES DEL AYUNTAMIENTO DE AGUASCALIENTES QUE REGISTRARÁ EL PARTIDO ACCIÓN NACIONAL CON MOTIVO DEL PROCESO ELECTORAL LOCAL 2020-2021 EN EL ESTADO DE AGUASCALIENTES EN CUMPLIMIENTO A LA SENTENCIA DICTADA POR LA SALA MONTERREY DEL TRIBUNAL ELECTORAL DEL PODER JUDICIAL DE LA FEDERACIÓN, EN EL SM-JRC-65/2021”</w:t>
      </w:r>
    </w:p>
  </w:footnote>
  <w:footnote w:id="3">
    <w:p w14:paraId="0B294B6F" w14:textId="2B4BF3F4" w:rsidR="0012746D" w:rsidRPr="0012746D" w:rsidRDefault="0012746D" w:rsidP="0012746D">
      <w:pPr>
        <w:pStyle w:val="Textonotapie"/>
        <w:jc w:val="both"/>
        <w:rPr>
          <w:rFonts w:ascii="Arial" w:hAnsi="Arial" w:cs="Arial"/>
          <w:sz w:val="18"/>
          <w:szCs w:val="18"/>
        </w:rPr>
      </w:pPr>
      <w:r>
        <w:rPr>
          <w:rStyle w:val="Refdenotaalpie"/>
        </w:rPr>
        <w:footnoteRef/>
      </w:r>
      <w:r>
        <w:t xml:space="preserve"> </w:t>
      </w:r>
      <w:r w:rsidRPr="0012746D">
        <w:rPr>
          <w:rFonts w:ascii="Arial" w:hAnsi="Arial" w:cs="Arial"/>
          <w:sz w:val="18"/>
          <w:szCs w:val="18"/>
        </w:rPr>
        <w:t>FE DE ERRATAS A LAS PROVIDENCIAS EMITIDAS POR EL PRESIDENTE NACIONAL, POR LAS QUE SE AUTORIZA LA EMISIÓN DE LA INVITACIÓN DIRIGIDA A TODOS LOS MILITANTES DEL PARTIDO ACCIÓN NACIONAL Y A LA CIUDADANÍA EN GENERAL DEL ESTADO DE AGUASCALIENTES, A PARTICIPAR EN EL PROCESO INTERNO DE DESIGNACIÓN DE LAS CANDIDATURAS A LAS DIPUTACIONES LOCALES POR EL PRINCIPIO DE MAYORÍA RELATIVA, ASÍ COMO DE INTEGRANTES DEL AYUNTAMIENTO DE AGUASCALIENTES QUE REGISTRARÁ EL PARTIDO ACCIÓN NACIONAL CON MOTIVO DEL PROCESO ELECTORAL LOCAL 2020-2021 EN EL ESTADO DE AGUASCALIENTES EN CUMPLIMIENTO A LA SENTENCIA DICTADA POR LA SALA MONTERREY DEL TRIBUNAL ELECTORAL DEL PODER JUDICIAL DE LA FEDERACIÓN, EN EL SM-JRC-65/2021</w:t>
      </w:r>
      <w:r>
        <w:rPr>
          <w:rFonts w:ascii="Arial" w:hAnsi="Arial" w:cs="Arial"/>
          <w:sz w:val="18"/>
          <w:szCs w:val="18"/>
        </w:rPr>
        <w:t>.</w:t>
      </w:r>
    </w:p>
  </w:footnote>
  <w:footnote w:id="4">
    <w:p w14:paraId="6E013FEA" w14:textId="30E75ACB" w:rsidR="0012746D" w:rsidRPr="0012746D" w:rsidRDefault="0012746D" w:rsidP="0012746D">
      <w:pPr>
        <w:pStyle w:val="Textonotapie"/>
        <w:jc w:val="both"/>
        <w:rPr>
          <w:rFonts w:ascii="Arial" w:hAnsi="Arial" w:cs="Arial"/>
          <w:sz w:val="18"/>
          <w:szCs w:val="18"/>
        </w:rPr>
      </w:pPr>
      <w:r w:rsidRPr="0012746D">
        <w:rPr>
          <w:rStyle w:val="Refdenotaalpie"/>
          <w:rFonts w:ascii="Arial" w:hAnsi="Arial" w:cs="Arial"/>
          <w:sz w:val="18"/>
          <w:szCs w:val="18"/>
        </w:rPr>
        <w:footnoteRef/>
      </w:r>
      <w:r w:rsidRPr="0012746D">
        <w:rPr>
          <w:rFonts w:ascii="Arial" w:hAnsi="Arial" w:cs="Arial"/>
          <w:sz w:val="18"/>
          <w:szCs w:val="18"/>
        </w:rPr>
        <w:t xml:space="preserve"> </w:t>
      </w:r>
      <w:r>
        <w:rPr>
          <w:rFonts w:ascii="Arial" w:hAnsi="Arial" w:cs="Arial"/>
          <w:sz w:val="18"/>
          <w:szCs w:val="18"/>
        </w:rPr>
        <w:t>PROVIDENCIAS EMITIDAS POR EL PRESIDENTE NACIONAL DEL PAN, POR VIRTUD DE LAS CUALES SE DESIGNAN LAS CANDIDATURAS A LOS CARGOS DE DIPUTACIONES LOCALES POR EL PRINCIPIO DE MAYORIA RELATIVA, ASÍ COMO INTEGRANTES DEL AYUNTAMIENTO DE AGUASCALIENTES PARA EL PROCESO ELECTORAL ORDINARIO LOCAL 2021</w:t>
      </w:r>
      <w:r w:rsidR="00947AFE">
        <w:rPr>
          <w:rFonts w:ascii="Arial" w:hAnsi="Arial" w:cs="Arial"/>
          <w:sz w:val="18"/>
          <w:szCs w:val="18"/>
        </w:rPr>
        <w:t>.</w:t>
      </w:r>
    </w:p>
  </w:footnote>
  <w:footnote w:id="5">
    <w:p w14:paraId="3655117F" w14:textId="59280980" w:rsidR="00C41D29" w:rsidRPr="00FD4671" w:rsidRDefault="00C41D29">
      <w:pPr>
        <w:pBdr>
          <w:top w:val="nil"/>
          <w:left w:val="nil"/>
          <w:bottom w:val="nil"/>
          <w:right w:val="nil"/>
          <w:between w:val="nil"/>
        </w:pBdr>
        <w:jc w:val="both"/>
        <w:rPr>
          <w:rFonts w:ascii="Arial" w:eastAsia="Arial" w:hAnsi="Arial" w:cs="Arial"/>
          <w:color w:val="000000"/>
          <w:sz w:val="18"/>
          <w:szCs w:val="18"/>
        </w:rPr>
      </w:pPr>
      <w:r w:rsidRPr="00FD4671">
        <w:rPr>
          <w:rFonts w:ascii="Arial" w:hAnsi="Arial" w:cs="Arial"/>
          <w:sz w:val="18"/>
          <w:szCs w:val="18"/>
          <w:vertAlign w:val="superscript"/>
        </w:rPr>
        <w:footnoteRef/>
      </w:r>
      <w:r w:rsidRPr="00FD4671">
        <w:rPr>
          <w:rFonts w:ascii="Arial" w:eastAsia="Arial" w:hAnsi="Arial" w:cs="Arial"/>
          <w:sz w:val="18"/>
          <w:szCs w:val="18"/>
        </w:rPr>
        <w:t xml:space="preserve">Jurisprudencia 2a./J. 58/2010. CONCEPTOS DE VIOLACIÓN O AGRAVIOS. PARA CUMPLIR CON LOS PRINCIPIOS DE CONGRUENCIA Y EXHAUSTIVIDAD EN LAS SENTENCIAS DE AMPARO ES INNECESARIA SU TRANSCRIPCIÓN. Consultable en la URL: </w:t>
      </w:r>
      <w:hyperlink r:id="rId1">
        <w:r w:rsidRPr="00FD4671">
          <w:rPr>
            <w:rFonts w:ascii="Arial" w:eastAsia="Arial" w:hAnsi="Arial" w:cs="Arial"/>
            <w:sz w:val="18"/>
            <w:szCs w:val="18"/>
          </w:rPr>
          <w:t>https://sjf.scjn.gob.mx/sjfsist/Paginas/DetalleGeneralV2.aspx?Clase=DetalleTesisBL&amp;ID=164618&amp;Semanario=0</w:t>
        </w:r>
      </w:hyperlink>
      <w:r w:rsidRPr="00FD4671">
        <w:rPr>
          <w:rFonts w:ascii="Arial" w:eastAsia="Arial" w:hAnsi="Arial" w:cs="Arial"/>
          <w:sz w:val="18"/>
          <w:szCs w:val="18"/>
        </w:rPr>
        <w:t xml:space="preserve"> </w:t>
      </w:r>
    </w:p>
  </w:footnote>
  <w:footnote w:id="6">
    <w:p w14:paraId="3F20EDC8" w14:textId="70015DE5" w:rsidR="00C41D29" w:rsidRPr="00FD4671" w:rsidRDefault="00C41D29">
      <w:pPr>
        <w:pBdr>
          <w:top w:val="nil"/>
          <w:left w:val="nil"/>
          <w:bottom w:val="nil"/>
          <w:right w:val="nil"/>
          <w:between w:val="nil"/>
        </w:pBdr>
        <w:jc w:val="both"/>
        <w:rPr>
          <w:rFonts w:ascii="Arial" w:eastAsia="Arial" w:hAnsi="Arial" w:cs="Arial"/>
          <w:color w:val="000000"/>
          <w:sz w:val="18"/>
          <w:szCs w:val="18"/>
        </w:rPr>
      </w:pPr>
      <w:r w:rsidRPr="00FD4671">
        <w:rPr>
          <w:rFonts w:ascii="Arial" w:hAnsi="Arial" w:cs="Arial"/>
          <w:sz w:val="18"/>
          <w:szCs w:val="18"/>
          <w:vertAlign w:val="superscript"/>
        </w:rPr>
        <w:footnoteRef/>
      </w:r>
      <w:r w:rsidRPr="00FD4671">
        <w:rPr>
          <w:rFonts w:ascii="Arial" w:eastAsia="Arial" w:hAnsi="Arial" w:cs="Arial"/>
          <w:color w:val="000000"/>
          <w:sz w:val="18"/>
          <w:szCs w:val="18"/>
        </w:rPr>
        <w:t xml:space="preserve"> Visible a fojas 117 a 118, del Volumen 1, de la citada Compilación de Jurisprudencia y Tesis en la Materia.</w:t>
      </w:r>
    </w:p>
  </w:footnote>
  <w:footnote w:id="7">
    <w:p w14:paraId="7622AE03" w14:textId="77777777" w:rsidR="00C41D29" w:rsidRPr="00FD4671" w:rsidRDefault="00C41D29">
      <w:pPr>
        <w:pBdr>
          <w:top w:val="nil"/>
          <w:left w:val="nil"/>
          <w:bottom w:val="nil"/>
          <w:right w:val="nil"/>
          <w:between w:val="nil"/>
        </w:pBdr>
        <w:jc w:val="both"/>
        <w:rPr>
          <w:rFonts w:ascii="Arial" w:eastAsia="Arial" w:hAnsi="Arial" w:cs="Arial"/>
          <w:color w:val="000000"/>
          <w:sz w:val="18"/>
          <w:szCs w:val="18"/>
        </w:rPr>
      </w:pPr>
      <w:r w:rsidRPr="00FD4671">
        <w:rPr>
          <w:rFonts w:ascii="Arial" w:hAnsi="Arial" w:cs="Arial"/>
          <w:sz w:val="18"/>
          <w:szCs w:val="18"/>
          <w:vertAlign w:val="superscript"/>
        </w:rPr>
        <w:footnoteRef/>
      </w:r>
      <w:r w:rsidRPr="00FD4671">
        <w:rPr>
          <w:rFonts w:ascii="Arial" w:eastAsia="Arial" w:hAnsi="Arial" w:cs="Arial"/>
          <w:color w:val="000000"/>
          <w:sz w:val="18"/>
          <w:szCs w:val="18"/>
        </w:rPr>
        <w:t xml:space="preserve"> Consultable en el Semanario Judicial de la Federación, Tomo XXXIII, abril de 2011, página 1299.</w:t>
      </w:r>
    </w:p>
    <w:p w14:paraId="2B7AAC5E" w14:textId="77777777" w:rsidR="00C41D29" w:rsidRDefault="00C41D29">
      <w:pPr>
        <w:pBdr>
          <w:top w:val="nil"/>
          <w:left w:val="nil"/>
          <w:bottom w:val="nil"/>
          <w:right w:val="nil"/>
          <w:between w:val="nil"/>
        </w:pBdr>
        <w:rPr>
          <w:rFonts w:ascii="Calibri" w:eastAsia="Calibri" w:hAnsi="Calibri" w:cs="Calibri"/>
          <w:color w:val="000000"/>
        </w:rPr>
      </w:pPr>
    </w:p>
  </w:footnote>
  <w:footnote w:id="8">
    <w:p w14:paraId="1C334E9E" w14:textId="77777777" w:rsidR="00C41D29" w:rsidRPr="00360D40" w:rsidRDefault="00C41D29">
      <w:pPr>
        <w:pBdr>
          <w:top w:val="nil"/>
          <w:left w:val="nil"/>
          <w:bottom w:val="nil"/>
          <w:right w:val="nil"/>
          <w:between w:val="nil"/>
        </w:pBdr>
        <w:jc w:val="both"/>
        <w:rPr>
          <w:rFonts w:ascii="Arial" w:eastAsia="Arial" w:hAnsi="Arial" w:cs="Arial"/>
          <w:color w:val="000000"/>
          <w:sz w:val="18"/>
          <w:szCs w:val="18"/>
        </w:rPr>
      </w:pPr>
      <w:r w:rsidRPr="00360D40">
        <w:rPr>
          <w:rFonts w:ascii="Arial" w:hAnsi="Arial" w:cs="Arial"/>
          <w:sz w:val="18"/>
          <w:szCs w:val="18"/>
          <w:vertAlign w:val="superscript"/>
        </w:rPr>
        <w:footnoteRef/>
      </w:r>
      <w:r w:rsidRPr="00360D40">
        <w:rPr>
          <w:rFonts w:ascii="Arial" w:eastAsia="Arial" w:hAnsi="Arial" w:cs="Arial"/>
          <w:color w:val="000000"/>
          <w:sz w:val="18"/>
          <w:szCs w:val="18"/>
        </w:rPr>
        <w:t xml:space="preserve"> Artículo 17. (…) </w:t>
      </w:r>
    </w:p>
    <w:p w14:paraId="12A86BC4" w14:textId="7F7C17B1" w:rsidR="00C41D29" w:rsidRPr="00360D40" w:rsidRDefault="00C41D29">
      <w:pPr>
        <w:pBdr>
          <w:top w:val="nil"/>
          <w:left w:val="nil"/>
          <w:bottom w:val="nil"/>
          <w:right w:val="nil"/>
          <w:between w:val="nil"/>
        </w:pBdr>
        <w:jc w:val="both"/>
        <w:rPr>
          <w:rFonts w:ascii="Arial" w:eastAsia="Calibri" w:hAnsi="Arial" w:cs="Arial"/>
          <w:color w:val="000000"/>
          <w:sz w:val="18"/>
          <w:szCs w:val="18"/>
        </w:rPr>
      </w:pPr>
      <w:r w:rsidRPr="00360D40">
        <w:rPr>
          <w:rFonts w:ascii="Arial" w:eastAsia="Arial" w:hAnsi="Arial" w:cs="Arial"/>
          <w:color w:val="000000"/>
          <w:sz w:val="18"/>
          <w:szCs w:val="18"/>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footnote>
  <w:footnote w:id="9">
    <w:p w14:paraId="17DEFA62" w14:textId="77777777" w:rsidR="00C41D29" w:rsidRDefault="00C41D29">
      <w:pPr>
        <w:pBdr>
          <w:top w:val="nil"/>
          <w:left w:val="nil"/>
          <w:bottom w:val="nil"/>
          <w:right w:val="nil"/>
          <w:between w:val="nil"/>
        </w:pBdr>
        <w:jc w:val="both"/>
        <w:rPr>
          <w:rFonts w:ascii="Arial" w:eastAsia="Arial" w:hAnsi="Arial" w:cs="Arial"/>
          <w:color w:val="000000"/>
        </w:rPr>
      </w:pPr>
      <w:r w:rsidRPr="00360D40">
        <w:rPr>
          <w:rFonts w:ascii="Arial" w:hAnsi="Arial" w:cs="Arial"/>
          <w:sz w:val="18"/>
          <w:szCs w:val="18"/>
          <w:vertAlign w:val="superscript"/>
        </w:rPr>
        <w:footnoteRef/>
      </w:r>
      <w:r w:rsidRPr="00360D40">
        <w:rPr>
          <w:rFonts w:ascii="Arial" w:eastAsia="Arial" w:hAnsi="Arial" w:cs="Arial"/>
          <w:color w:val="000000"/>
          <w:sz w:val="18"/>
          <w:szCs w:val="18"/>
        </w:rPr>
        <w:t xml:space="preserve"> Al respecto, es orientadora la jurisprudencia 58/2010 de la Segunda Sala de la Suprema Corte de Justicia de la Nación de rubro y texto siguientes: “</w:t>
      </w:r>
      <w:r w:rsidRPr="00360D40">
        <w:rPr>
          <w:rFonts w:ascii="Arial" w:eastAsia="Arial" w:hAnsi="Arial" w:cs="Arial"/>
          <w:b/>
          <w:color w:val="000000"/>
          <w:sz w:val="18"/>
          <w:szCs w:val="18"/>
        </w:rPr>
        <w:t>CONCEPTOS DE VIOLACIÓN O AGRAVIOS. PARA CUMPLIR CON LOS PRINCIPIOS DE CONGRUENCIA Y EXHAUSTIVIDAD EN LAS SENTENCIAS DE AMPARO ES INNECESARIA SU TRANSCRIPCIÓN</w:t>
      </w:r>
      <w:r w:rsidRPr="00360D40">
        <w:rPr>
          <w:rFonts w:ascii="Arial" w:eastAsia="Arial" w:hAnsi="Arial" w:cs="Arial"/>
          <w:color w:val="000000"/>
          <w:sz w:val="18"/>
          <w:szCs w:val="18"/>
        </w:rPr>
        <w:t>. De los preceptos integrantes del capítulo X "De las sentencias", del título primero "Reglas generales", del libro primero "Del amparo en general", de la Ley de Amparo, no se advierte como obligación para el juzgador que transcriba los conceptos de violación o, en su caso, los agravios, para cumplir con los principios de congruencia y exhaustividad en las sentencias, pues tales principios se satisfacen cuando precisa los puntos sujetos a debate, derivados de la demanda de amparo o del escrito de expresión de agravios, los estudia y les da respuesta, la cual debe estar vinculada y corresponder a los planteamientos de legalidad o constitucionalidad efectivamente planteados en el pliego correspondiente, sin introducir aspectos distintos a los que conforman la litis. Sin embargo, no existe prohibición para hacer tal transcripción, quedando al prudente arbitrio del juzgador realizarla o no, atendiendo a las características especiales del caso, sin demérito de que para satisfacer los principios de exhaustividad y congruencia se estudien los planteamientos de legalidad o inconstitucionalidad que efectivamente se hayan hecho valer”.</w:t>
      </w:r>
    </w:p>
  </w:footnote>
  <w:footnote w:id="10">
    <w:p w14:paraId="4326AC48" w14:textId="77777777" w:rsidR="00A2434E" w:rsidRPr="005802E0" w:rsidRDefault="00A2434E" w:rsidP="00A2434E">
      <w:pPr>
        <w:pStyle w:val="Textonotapie"/>
        <w:rPr>
          <w:rFonts w:ascii="Arial" w:hAnsi="Arial" w:cs="Arial"/>
          <w:sz w:val="18"/>
          <w:szCs w:val="18"/>
        </w:rPr>
      </w:pPr>
      <w:r w:rsidRPr="005802E0">
        <w:rPr>
          <w:rStyle w:val="Refdenotaalpie"/>
          <w:rFonts w:ascii="Arial" w:hAnsi="Arial" w:cs="Arial"/>
          <w:sz w:val="18"/>
          <w:szCs w:val="18"/>
        </w:rPr>
        <w:footnoteRef/>
      </w:r>
      <w:r w:rsidRPr="005802E0">
        <w:rPr>
          <w:rFonts w:ascii="Arial" w:hAnsi="Arial" w:cs="Arial"/>
          <w:sz w:val="18"/>
          <w:szCs w:val="18"/>
        </w:rPr>
        <w:t xml:space="preserve"> Jurisprudencia 11/2001</w:t>
      </w:r>
      <w:r>
        <w:rPr>
          <w:rFonts w:ascii="Arial" w:hAnsi="Arial" w:cs="Arial"/>
          <w:sz w:val="18"/>
          <w:szCs w:val="18"/>
        </w:rPr>
        <w:t xml:space="preserve"> de rubro:</w:t>
      </w:r>
      <w:r w:rsidRPr="005802E0">
        <w:rPr>
          <w:rFonts w:ascii="Arial" w:hAnsi="Arial" w:cs="Arial"/>
          <w:sz w:val="18"/>
          <w:szCs w:val="18"/>
        </w:rPr>
        <w:t xml:space="preserve"> </w:t>
      </w:r>
      <w:r>
        <w:rPr>
          <w:rFonts w:ascii="Arial" w:hAnsi="Arial" w:cs="Arial"/>
          <w:sz w:val="18"/>
          <w:szCs w:val="18"/>
        </w:rPr>
        <w:t>“</w:t>
      </w:r>
      <w:r w:rsidRPr="005802E0">
        <w:rPr>
          <w:rFonts w:ascii="Arial" w:hAnsi="Arial" w:cs="Arial"/>
          <w:b/>
          <w:bCs/>
          <w:sz w:val="18"/>
          <w:szCs w:val="18"/>
        </w:rPr>
        <w:t>ESTATUTOS DE LOS PARTIDOS POLÍTICOS. SURTEN SUS EFECTOS MIENTRAS NO SEA DECLARADA SU NULIDAD</w:t>
      </w:r>
      <w:r>
        <w:rPr>
          <w:rFonts w:ascii="Arial" w:hAnsi="Arial" w:cs="Arial"/>
          <w:b/>
          <w:bCs/>
          <w:sz w:val="18"/>
          <w:szCs w:val="18"/>
        </w:rPr>
        <w:t>”</w:t>
      </w:r>
      <w:r w:rsidRPr="005802E0">
        <w:rPr>
          <w:rFonts w:ascii="Arial" w:hAnsi="Arial" w:cs="Arial"/>
          <w:b/>
          <w:bCs/>
          <w:sz w:val="18"/>
          <w:szCs w:val="18"/>
        </w:rPr>
        <w:t>.</w:t>
      </w:r>
    </w:p>
  </w:footnote>
  <w:footnote w:id="11">
    <w:p w14:paraId="74961EAB" w14:textId="77777777" w:rsidR="00D30213" w:rsidRPr="00325EBD" w:rsidRDefault="00D30213" w:rsidP="00D30213">
      <w:pPr>
        <w:pStyle w:val="Textonotapie"/>
        <w:jc w:val="both"/>
        <w:rPr>
          <w:rFonts w:ascii="Arial" w:hAnsi="Arial" w:cs="Arial"/>
        </w:rPr>
      </w:pPr>
      <w:r w:rsidRPr="00325EBD">
        <w:rPr>
          <w:rStyle w:val="Refdenotaalpie"/>
          <w:rFonts w:ascii="Arial" w:hAnsi="Arial" w:cs="Arial"/>
        </w:rPr>
        <w:footnoteRef/>
      </w:r>
      <w:r w:rsidRPr="00325EBD">
        <w:rPr>
          <w:rFonts w:ascii="Arial" w:hAnsi="Arial" w:cs="Arial"/>
        </w:rPr>
        <w:t xml:space="preserve"> Tal y como se desprende del informe circunstanciado, así como de las renuncias a las candidaturas del distrito XIV, signadas por los CC. Salvador Maximiliano Ramírez Hernández y Sergio David Mora Rodarte.</w:t>
      </w:r>
    </w:p>
  </w:footnote>
  <w:footnote w:id="12">
    <w:p w14:paraId="6E0F8522" w14:textId="5B26D32A" w:rsidR="00692035" w:rsidRPr="00692035" w:rsidRDefault="00692035" w:rsidP="00DC4DAA">
      <w:pPr>
        <w:pStyle w:val="Textonotapie"/>
        <w:jc w:val="both"/>
        <w:rPr>
          <w:rFonts w:ascii="Arial" w:hAnsi="Arial" w:cs="Arial"/>
          <w:sz w:val="18"/>
          <w:szCs w:val="18"/>
        </w:rPr>
      </w:pPr>
      <w:r w:rsidRPr="00692035">
        <w:rPr>
          <w:rStyle w:val="Refdenotaalpie"/>
          <w:rFonts w:ascii="Arial" w:hAnsi="Arial" w:cs="Arial"/>
          <w:sz w:val="18"/>
          <w:szCs w:val="18"/>
        </w:rPr>
        <w:footnoteRef/>
      </w:r>
      <w:r w:rsidRPr="00692035">
        <w:rPr>
          <w:rFonts w:ascii="Arial" w:hAnsi="Arial" w:cs="Arial"/>
          <w:sz w:val="18"/>
          <w:szCs w:val="18"/>
        </w:rPr>
        <w:t xml:space="preserve"> ARTÍCULO 144.- La solicitud del registro de candidaturas se hará del día quince al día veinte de marzo del año de la elección.</w:t>
      </w:r>
    </w:p>
  </w:footnote>
  <w:footnote w:id="13">
    <w:p w14:paraId="1E9679D0" w14:textId="356D1B85" w:rsidR="00D13361" w:rsidRPr="00D13361" w:rsidRDefault="00D13361" w:rsidP="00DC4DAA">
      <w:pPr>
        <w:pStyle w:val="Textonotapie"/>
        <w:jc w:val="both"/>
        <w:rPr>
          <w:rFonts w:ascii="Arial" w:hAnsi="Arial" w:cs="Arial"/>
        </w:rPr>
      </w:pPr>
      <w:r w:rsidRPr="00692035">
        <w:rPr>
          <w:rStyle w:val="Refdenotaalpie"/>
          <w:rFonts w:ascii="Arial" w:hAnsi="Arial" w:cs="Arial"/>
          <w:sz w:val="18"/>
          <w:szCs w:val="18"/>
        </w:rPr>
        <w:footnoteRef/>
      </w:r>
      <w:r w:rsidRPr="00692035">
        <w:rPr>
          <w:rFonts w:ascii="Arial" w:hAnsi="Arial" w:cs="Arial"/>
          <w:sz w:val="18"/>
          <w:szCs w:val="18"/>
        </w:rPr>
        <w:t xml:space="preserve"> En el caso, no podrá hacerse después del 17 de mayo, de acuerdo con la Agenda Electoral emitida por el IEE.</w:t>
      </w:r>
    </w:p>
  </w:footnote>
  <w:footnote w:id="14">
    <w:p w14:paraId="7C14072B" w14:textId="1BBBC887" w:rsidR="007F6845" w:rsidRPr="007F6845" w:rsidRDefault="007F6845">
      <w:pPr>
        <w:pStyle w:val="Textonotapie"/>
        <w:rPr>
          <w:rFonts w:ascii="Arial" w:hAnsi="Arial" w:cs="Arial"/>
        </w:rPr>
      </w:pPr>
      <w:r w:rsidRPr="007F6845">
        <w:rPr>
          <w:rStyle w:val="Refdenotaalpie"/>
          <w:rFonts w:ascii="Arial" w:hAnsi="Arial" w:cs="Arial"/>
          <w:sz w:val="18"/>
          <w:szCs w:val="18"/>
        </w:rPr>
        <w:footnoteRef/>
      </w:r>
      <w:r w:rsidRPr="007F6845">
        <w:rPr>
          <w:rFonts w:ascii="Arial" w:hAnsi="Arial" w:cs="Arial"/>
          <w:sz w:val="18"/>
          <w:szCs w:val="18"/>
        </w:rPr>
        <w:t xml:space="preserve"> </w:t>
      </w:r>
      <w:r w:rsidRPr="007F6845">
        <w:rPr>
          <w:rFonts w:ascii="Arial" w:hAnsi="Arial" w:cs="Arial"/>
          <w:sz w:val="18"/>
          <w:szCs w:val="18"/>
          <w:shd w:val="clear" w:color="auto" w:fill="FFFFFF"/>
        </w:rPr>
        <w:t>SUP-REC-35/2012.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EC67" w14:textId="123B32DD" w:rsidR="00563E3F" w:rsidRDefault="00563E3F">
    <w:pPr>
      <w:pStyle w:val="Encabezado"/>
    </w:pPr>
    <w:r>
      <w:rPr>
        <w:noProof/>
      </w:rPr>
      <w:pict w14:anchorId="5AE4A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03422" o:spid="_x0000_s2050" type="#_x0000_t136" style="position:absolute;margin-left:0;margin-top:0;width:591.9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ACE8" w14:textId="4586ECB6" w:rsidR="00C41D29" w:rsidRDefault="00563E3F">
    <w:pPr>
      <w:spacing w:line="200" w:lineRule="auto"/>
    </w:pPr>
    <w:r>
      <w:rPr>
        <w:noProof/>
      </w:rPr>
      <w:pict w14:anchorId="029FB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03423" o:spid="_x0000_s2051" type="#_x0000_t136" style="position:absolute;margin-left:0;margin-top:0;width:591.9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C41D29">
      <w:rPr>
        <w:noProof/>
      </w:rPr>
      <mc:AlternateContent>
        <mc:Choice Requires="wps">
          <w:drawing>
            <wp:anchor distT="0" distB="0" distL="114300" distR="114300" simplePos="0" relativeHeight="251658240" behindDoc="0" locked="0" layoutInCell="0" hidden="0" allowOverlap="1" wp14:anchorId="56B99FFB" wp14:editId="2A3B4736">
              <wp:simplePos x="0" y="0"/>
              <wp:positionH relativeFrom="rightMargin">
                <wp:align>right</wp:align>
              </wp:positionH>
              <wp:positionV relativeFrom="margin">
                <wp:align>center</wp:align>
              </wp:positionV>
              <wp:extent cx="570230" cy="329565"/>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329565"/>
                      </a:xfrm>
                      <a:prstGeom prst="rect">
                        <a:avLst/>
                      </a:prstGeom>
                      <a:solidFill>
                        <a:srgbClr val="FFFFFF"/>
                      </a:solidFill>
                      <a:ln>
                        <a:noFill/>
                      </a:ln>
                    </wps:spPr>
                    <wps:txbx>
                      <w:txbxContent>
                        <w:p w14:paraId="1409C67E" w14:textId="77777777" w:rsidR="00C41D29" w:rsidRDefault="00C41D29">
                          <w:pPr>
                            <w:pBdr>
                              <w:bottom w:val="single" w:sz="4" w:space="1" w:color="auto"/>
                            </w:pBdr>
                          </w:pPr>
                          <w:r>
                            <w:fldChar w:fldCharType="begin"/>
                          </w:r>
                          <w:r>
                            <w:instrText>PAGE   \* MERGEFORMAT</w:instrText>
                          </w:r>
                          <w:r>
                            <w:fldChar w:fldCharType="separate"/>
                          </w:r>
                          <w:r w:rsidRPr="0094005A">
                            <w:rPr>
                              <w:noProof/>
                              <w:lang w:val="es-ES"/>
                            </w:rPr>
                            <w:t>10</w:t>
                          </w:r>
                          <w:r>
                            <w:fldChar w:fldCharType="end"/>
                          </w:r>
                        </w:p>
                      </w:txbxContent>
                    </wps:txbx>
                    <wps:bodyPr rot="0" vert="horz" wrap="square" lIns="91440" tIns="45720" rIns="91440" bIns="45720" anchor="t" anchorCtr="0" upright="1">
                      <a:noAutofit/>
                    </wps:bodyPr>
                  </wps:wsp>
                </a:graphicData>
              </a:graphic>
            </wp:anchor>
          </w:drawing>
        </mc:Choice>
        <mc:Fallback>
          <w:pict>
            <v:rect w14:anchorId="56B99FFB" id="Rectángulo 1" o:spid="_x0000_s1026" style="position:absolute;margin-left:-6.3pt;margin-top:0;width:44.9pt;height:25.95pt;z-index:251658240;visibility:visible;mso-wrap-style:square;mso-wrap-distance-left:9pt;mso-wrap-distance-top:0;mso-wrap-distance-right:9pt;mso-wrap-distance-bottom:0;mso-position-horizontal:right;mso-position-horizontal-relative:right-margin-area;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" o:allowincell="f" stroked="f">
              <v:textbox>
                <w:txbxContent>
                  <w:p w14:paraId="1409C67E" w14:textId="77777777" w:rsidR="00C41D29" w:rsidRDefault="00C41D29">
                    <w:pPr>
                      <w:pBdr>
                        <w:bottom w:val="single" w:sz="4" w:space="1" w:color="auto"/>
                      </w:pBdr>
                    </w:pPr>
                    <w:r>
                      <w:fldChar w:fldCharType="begin"/>
                    </w:r>
                    <w:r>
                      <w:instrText>PAGE   \* MERGEFORMAT</w:instrText>
                    </w:r>
                    <w:r>
                      <w:fldChar w:fldCharType="separate"/>
                    </w:r>
                    <w:r w:rsidRPr="0094005A">
                      <w:rPr>
                        <w:noProof/>
                        <w:lang w:val="es-ES"/>
                      </w:rPr>
                      <w:t>10</w:t>
                    </w:r>
                    <w:r>
                      <w:fldChar w:fldCharType="end"/>
                    </w:r>
                  </w:p>
                </w:txbxContent>
              </v:textbox>
              <w10:wrap anchorx="margin" anchory="margin"/>
            </v:rect>
          </w:pict>
        </mc:Fallback>
      </mc:AlternateContent>
    </w:r>
    <w:r w:rsidR="00C41D29">
      <w:rPr>
        <w:noProof/>
      </w:rPr>
      <w:drawing>
        <wp:anchor distT="0" distB="0" distL="0" distR="0" simplePos="0" relativeHeight="251659264" behindDoc="1" locked="0" layoutInCell="1" hidden="0" allowOverlap="1" wp14:anchorId="3F27B317" wp14:editId="710E5657">
          <wp:simplePos x="0" y="0"/>
          <wp:positionH relativeFrom="page">
            <wp:posOffset>708660</wp:posOffset>
          </wp:positionH>
          <wp:positionV relativeFrom="page">
            <wp:posOffset>174625</wp:posOffset>
          </wp:positionV>
          <wp:extent cx="1179830" cy="14046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A596" w14:textId="318683E9" w:rsidR="00563E3F" w:rsidRDefault="00563E3F">
    <w:pPr>
      <w:pStyle w:val="Encabezado"/>
    </w:pPr>
    <w:r>
      <w:rPr>
        <w:noProof/>
      </w:rPr>
      <w:pict w14:anchorId="5B6E4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03421" o:spid="_x0000_s2049" type="#_x0000_t136" style="position:absolute;margin-left:0;margin-top:0;width:591.9pt;height:91.0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3964"/>
    <w:multiLevelType w:val="multilevel"/>
    <w:tmpl w:val="01F20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C6785"/>
    <w:multiLevelType w:val="multilevel"/>
    <w:tmpl w:val="72AE1DB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2F11DE"/>
    <w:multiLevelType w:val="multilevel"/>
    <w:tmpl w:val="56DE0E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3C2A22"/>
    <w:multiLevelType w:val="hybridMultilevel"/>
    <w:tmpl w:val="F5CC301C"/>
    <w:lvl w:ilvl="0" w:tplc="A1BACFA8">
      <w:start w:val="1"/>
      <w:numFmt w:val="upperRoman"/>
      <w:lvlText w:val="%1."/>
      <w:lvlJc w:val="left"/>
      <w:pPr>
        <w:ind w:left="3556" w:hanging="720"/>
      </w:pPr>
      <w:rPr>
        <w:rFonts w:hint="default"/>
      </w:rPr>
    </w:lvl>
    <w:lvl w:ilvl="1" w:tplc="080A0019" w:tentative="1">
      <w:start w:val="1"/>
      <w:numFmt w:val="lowerLetter"/>
      <w:lvlText w:val="%2."/>
      <w:lvlJc w:val="left"/>
      <w:pPr>
        <w:ind w:left="3916" w:hanging="360"/>
      </w:pPr>
    </w:lvl>
    <w:lvl w:ilvl="2" w:tplc="080A001B" w:tentative="1">
      <w:start w:val="1"/>
      <w:numFmt w:val="lowerRoman"/>
      <w:lvlText w:val="%3."/>
      <w:lvlJc w:val="right"/>
      <w:pPr>
        <w:ind w:left="4636" w:hanging="180"/>
      </w:pPr>
    </w:lvl>
    <w:lvl w:ilvl="3" w:tplc="080A000F" w:tentative="1">
      <w:start w:val="1"/>
      <w:numFmt w:val="decimal"/>
      <w:lvlText w:val="%4."/>
      <w:lvlJc w:val="left"/>
      <w:pPr>
        <w:ind w:left="5356" w:hanging="360"/>
      </w:pPr>
    </w:lvl>
    <w:lvl w:ilvl="4" w:tplc="080A0019" w:tentative="1">
      <w:start w:val="1"/>
      <w:numFmt w:val="lowerLetter"/>
      <w:lvlText w:val="%5."/>
      <w:lvlJc w:val="left"/>
      <w:pPr>
        <w:ind w:left="6076" w:hanging="360"/>
      </w:pPr>
    </w:lvl>
    <w:lvl w:ilvl="5" w:tplc="080A001B" w:tentative="1">
      <w:start w:val="1"/>
      <w:numFmt w:val="lowerRoman"/>
      <w:lvlText w:val="%6."/>
      <w:lvlJc w:val="right"/>
      <w:pPr>
        <w:ind w:left="6796" w:hanging="180"/>
      </w:pPr>
    </w:lvl>
    <w:lvl w:ilvl="6" w:tplc="080A000F" w:tentative="1">
      <w:start w:val="1"/>
      <w:numFmt w:val="decimal"/>
      <w:lvlText w:val="%7."/>
      <w:lvlJc w:val="left"/>
      <w:pPr>
        <w:ind w:left="7516" w:hanging="360"/>
      </w:pPr>
    </w:lvl>
    <w:lvl w:ilvl="7" w:tplc="080A0019" w:tentative="1">
      <w:start w:val="1"/>
      <w:numFmt w:val="lowerLetter"/>
      <w:lvlText w:val="%8."/>
      <w:lvlJc w:val="left"/>
      <w:pPr>
        <w:ind w:left="8236" w:hanging="360"/>
      </w:pPr>
    </w:lvl>
    <w:lvl w:ilvl="8" w:tplc="080A001B" w:tentative="1">
      <w:start w:val="1"/>
      <w:numFmt w:val="lowerRoman"/>
      <w:lvlText w:val="%9."/>
      <w:lvlJc w:val="right"/>
      <w:pPr>
        <w:ind w:left="8956" w:hanging="180"/>
      </w:pPr>
    </w:lvl>
  </w:abstractNum>
  <w:abstractNum w:abstractNumId="4" w15:restartNumberingAfterBreak="0">
    <w:nsid w:val="1A7C384C"/>
    <w:multiLevelType w:val="hybridMultilevel"/>
    <w:tmpl w:val="D88C1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647EA"/>
    <w:multiLevelType w:val="hybridMultilevel"/>
    <w:tmpl w:val="95E4ED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5C70B9"/>
    <w:multiLevelType w:val="hybridMultilevel"/>
    <w:tmpl w:val="FDBA71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6C2E42"/>
    <w:multiLevelType w:val="multilevel"/>
    <w:tmpl w:val="91D4F3D0"/>
    <w:lvl w:ilvl="0">
      <w:start w:val="6"/>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F82747"/>
    <w:multiLevelType w:val="hybridMultilevel"/>
    <w:tmpl w:val="1AF0E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2B1897"/>
    <w:multiLevelType w:val="hybridMultilevel"/>
    <w:tmpl w:val="C57488F2"/>
    <w:lvl w:ilvl="0" w:tplc="81A068E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C15DB"/>
    <w:multiLevelType w:val="hybridMultilevel"/>
    <w:tmpl w:val="C34237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3E3EB9"/>
    <w:multiLevelType w:val="multilevel"/>
    <w:tmpl w:val="FB7A10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3F7E25"/>
    <w:multiLevelType w:val="multilevel"/>
    <w:tmpl w:val="361C4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65D4B1F"/>
    <w:multiLevelType w:val="hybridMultilevel"/>
    <w:tmpl w:val="1340DD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00441D"/>
    <w:multiLevelType w:val="multilevel"/>
    <w:tmpl w:val="84986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5B28BC"/>
    <w:multiLevelType w:val="hybridMultilevel"/>
    <w:tmpl w:val="ACD057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6A76BE"/>
    <w:multiLevelType w:val="hybridMultilevel"/>
    <w:tmpl w:val="5C7A29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F1D0120"/>
    <w:multiLevelType w:val="multilevel"/>
    <w:tmpl w:val="B9A2099C"/>
    <w:lvl w:ilvl="0">
      <w:start w:val="2"/>
      <w:numFmt w:val="decimal"/>
      <w:lvlText w:val="%1."/>
      <w:lvlJc w:val="left"/>
      <w:pPr>
        <w:ind w:left="720" w:hanging="360"/>
      </w:pPr>
      <w:rPr>
        <w:rFonts w:ascii="Arial" w:eastAsia="Times New Roman" w:hAnsi="Arial" w:cs="Arial" w:hint="default"/>
        <w:b/>
        <w:bCs w:val="0"/>
        <w:sz w:val="22"/>
        <w:szCs w:val="22"/>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205770F"/>
    <w:multiLevelType w:val="multilevel"/>
    <w:tmpl w:val="AA7A8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662ED9"/>
    <w:multiLevelType w:val="hybridMultilevel"/>
    <w:tmpl w:val="D88C1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4A6A10"/>
    <w:multiLevelType w:val="hybridMultilevel"/>
    <w:tmpl w:val="9B4C4B4C"/>
    <w:lvl w:ilvl="0" w:tplc="1C92947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38679EC"/>
    <w:multiLevelType w:val="hybridMultilevel"/>
    <w:tmpl w:val="068C7F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9444BA"/>
    <w:multiLevelType w:val="hybridMultilevel"/>
    <w:tmpl w:val="7DBC2A3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C46F16"/>
    <w:multiLevelType w:val="hybridMultilevel"/>
    <w:tmpl w:val="DD7453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5B7DE1"/>
    <w:multiLevelType w:val="hybridMultilevel"/>
    <w:tmpl w:val="216EF4F2"/>
    <w:lvl w:ilvl="0" w:tplc="D39A55FC">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2F137E"/>
    <w:multiLevelType w:val="hybridMultilevel"/>
    <w:tmpl w:val="1ABA9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3E5550"/>
    <w:multiLevelType w:val="multilevel"/>
    <w:tmpl w:val="3D4615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753F2D"/>
    <w:multiLevelType w:val="multilevel"/>
    <w:tmpl w:val="E99E0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C835D7"/>
    <w:multiLevelType w:val="hybridMultilevel"/>
    <w:tmpl w:val="A796AC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6A72CF"/>
    <w:multiLevelType w:val="hybridMultilevel"/>
    <w:tmpl w:val="B07AD3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A34DEF"/>
    <w:multiLevelType w:val="hybridMultilevel"/>
    <w:tmpl w:val="33C0B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3B5A5D"/>
    <w:multiLevelType w:val="hybridMultilevel"/>
    <w:tmpl w:val="6BFCF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
  </w:num>
  <w:num w:numId="4">
    <w:abstractNumId w:val="28"/>
  </w:num>
  <w:num w:numId="5">
    <w:abstractNumId w:val="27"/>
  </w:num>
  <w:num w:numId="6">
    <w:abstractNumId w:val="1"/>
  </w:num>
  <w:num w:numId="7">
    <w:abstractNumId w:val="11"/>
  </w:num>
  <w:num w:numId="8">
    <w:abstractNumId w:val="12"/>
  </w:num>
  <w:num w:numId="9">
    <w:abstractNumId w:val="14"/>
  </w:num>
  <w:num w:numId="10">
    <w:abstractNumId w:val="0"/>
  </w:num>
  <w:num w:numId="11">
    <w:abstractNumId w:val="15"/>
  </w:num>
  <w:num w:numId="12">
    <w:abstractNumId w:val="18"/>
  </w:num>
  <w:num w:numId="13">
    <w:abstractNumId w:val="24"/>
  </w:num>
  <w:num w:numId="14">
    <w:abstractNumId w:val="21"/>
  </w:num>
  <w:num w:numId="15">
    <w:abstractNumId w:val="26"/>
  </w:num>
  <w:num w:numId="16">
    <w:abstractNumId w:val="32"/>
  </w:num>
  <w:num w:numId="17">
    <w:abstractNumId w:val="30"/>
  </w:num>
  <w:num w:numId="18">
    <w:abstractNumId w:val="22"/>
  </w:num>
  <w:num w:numId="19">
    <w:abstractNumId w:val="8"/>
  </w:num>
  <w:num w:numId="20">
    <w:abstractNumId w:val="13"/>
  </w:num>
  <w:num w:numId="21">
    <w:abstractNumId w:val="16"/>
  </w:num>
  <w:num w:numId="22">
    <w:abstractNumId w:val="5"/>
  </w:num>
  <w:num w:numId="23">
    <w:abstractNumId w:val="6"/>
  </w:num>
  <w:num w:numId="24">
    <w:abstractNumId w:val="4"/>
  </w:num>
  <w:num w:numId="25">
    <w:abstractNumId w:val="20"/>
  </w:num>
  <w:num w:numId="26">
    <w:abstractNumId w:val="25"/>
  </w:num>
  <w:num w:numId="27">
    <w:abstractNumId w:val="29"/>
  </w:num>
  <w:num w:numId="28">
    <w:abstractNumId w:val="23"/>
  </w:num>
  <w:num w:numId="29">
    <w:abstractNumId w:val="31"/>
  </w:num>
  <w:num w:numId="30">
    <w:abstractNumId w:val="17"/>
  </w:num>
  <w:num w:numId="31">
    <w:abstractNumId w:val="10"/>
  </w:num>
  <w:num w:numId="32">
    <w:abstractNumId w:val="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4C"/>
    <w:rsid w:val="000029A9"/>
    <w:rsid w:val="00003366"/>
    <w:rsid w:val="00006C9F"/>
    <w:rsid w:val="0000714C"/>
    <w:rsid w:val="00014A71"/>
    <w:rsid w:val="00015525"/>
    <w:rsid w:val="00015734"/>
    <w:rsid w:val="0003211D"/>
    <w:rsid w:val="000438A2"/>
    <w:rsid w:val="00050ED2"/>
    <w:rsid w:val="0006033E"/>
    <w:rsid w:val="0007242A"/>
    <w:rsid w:val="00080D4C"/>
    <w:rsid w:val="00083F5A"/>
    <w:rsid w:val="000865A0"/>
    <w:rsid w:val="00086EB6"/>
    <w:rsid w:val="0009047C"/>
    <w:rsid w:val="000A3E8E"/>
    <w:rsid w:val="000A473C"/>
    <w:rsid w:val="000A6854"/>
    <w:rsid w:val="000B06C1"/>
    <w:rsid w:val="000B25F9"/>
    <w:rsid w:val="000C747F"/>
    <w:rsid w:val="000D2961"/>
    <w:rsid w:val="000D48D5"/>
    <w:rsid w:val="000D6B5E"/>
    <w:rsid w:val="000E4164"/>
    <w:rsid w:val="000E7CD8"/>
    <w:rsid w:val="00105FC9"/>
    <w:rsid w:val="00111C4C"/>
    <w:rsid w:val="001120A7"/>
    <w:rsid w:val="001128D8"/>
    <w:rsid w:val="00114AE3"/>
    <w:rsid w:val="0011501A"/>
    <w:rsid w:val="00122614"/>
    <w:rsid w:val="0012704D"/>
    <w:rsid w:val="0012746D"/>
    <w:rsid w:val="00127E6C"/>
    <w:rsid w:val="00137090"/>
    <w:rsid w:val="00145177"/>
    <w:rsid w:val="0015578F"/>
    <w:rsid w:val="00171273"/>
    <w:rsid w:val="001713D2"/>
    <w:rsid w:val="00171591"/>
    <w:rsid w:val="00172D06"/>
    <w:rsid w:val="00173672"/>
    <w:rsid w:val="00177B11"/>
    <w:rsid w:val="0019047C"/>
    <w:rsid w:val="001908FB"/>
    <w:rsid w:val="001958BF"/>
    <w:rsid w:val="001B1FA7"/>
    <w:rsid w:val="001B2582"/>
    <w:rsid w:val="001C113D"/>
    <w:rsid w:val="001C4ECF"/>
    <w:rsid w:val="001D0F11"/>
    <w:rsid w:val="001D4F84"/>
    <w:rsid w:val="001D5860"/>
    <w:rsid w:val="001D64B7"/>
    <w:rsid w:val="001D6893"/>
    <w:rsid w:val="001D786E"/>
    <w:rsid w:val="001E096F"/>
    <w:rsid w:val="001E2151"/>
    <w:rsid w:val="001E25A5"/>
    <w:rsid w:val="001E27FF"/>
    <w:rsid w:val="001E62AE"/>
    <w:rsid w:val="001F3A78"/>
    <w:rsid w:val="001F3FCB"/>
    <w:rsid w:val="001F5D8E"/>
    <w:rsid w:val="001F7A19"/>
    <w:rsid w:val="00200C73"/>
    <w:rsid w:val="00212AD8"/>
    <w:rsid w:val="002139AB"/>
    <w:rsid w:val="00213DA8"/>
    <w:rsid w:val="00215AC4"/>
    <w:rsid w:val="00220C56"/>
    <w:rsid w:val="002269E2"/>
    <w:rsid w:val="00232B36"/>
    <w:rsid w:val="002347D6"/>
    <w:rsid w:val="00245439"/>
    <w:rsid w:val="002532DC"/>
    <w:rsid w:val="002607ED"/>
    <w:rsid w:val="002614B3"/>
    <w:rsid w:val="002754A0"/>
    <w:rsid w:val="00276A0E"/>
    <w:rsid w:val="00280863"/>
    <w:rsid w:val="00282327"/>
    <w:rsid w:val="0028404C"/>
    <w:rsid w:val="00284A88"/>
    <w:rsid w:val="00286C29"/>
    <w:rsid w:val="00297DA6"/>
    <w:rsid w:val="002A0FD2"/>
    <w:rsid w:val="002A3DC7"/>
    <w:rsid w:val="002A6622"/>
    <w:rsid w:val="002B36DA"/>
    <w:rsid w:val="002C5C03"/>
    <w:rsid w:val="002D4974"/>
    <w:rsid w:val="002F0090"/>
    <w:rsid w:val="0030237A"/>
    <w:rsid w:val="003060E3"/>
    <w:rsid w:val="00321058"/>
    <w:rsid w:val="00324769"/>
    <w:rsid w:val="00324D9D"/>
    <w:rsid w:val="00325EBD"/>
    <w:rsid w:val="00327E60"/>
    <w:rsid w:val="003305E6"/>
    <w:rsid w:val="00330A02"/>
    <w:rsid w:val="00351BD0"/>
    <w:rsid w:val="0035644E"/>
    <w:rsid w:val="00360D40"/>
    <w:rsid w:val="00366EAE"/>
    <w:rsid w:val="00375906"/>
    <w:rsid w:val="0039113F"/>
    <w:rsid w:val="003C1898"/>
    <w:rsid w:val="003C4CD7"/>
    <w:rsid w:val="003C6D86"/>
    <w:rsid w:val="003D400D"/>
    <w:rsid w:val="003D555B"/>
    <w:rsid w:val="003E5AE3"/>
    <w:rsid w:val="003F4B02"/>
    <w:rsid w:val="00401BDF"/>
    <w:rsid w:val="00402ED0"/>
    <w:rsid w:val="004049E4"/>
    <w:rsid w:val="0041576C"/>
    <w:rsid w:val="00417B60"/>
    <w:rsid w:val="004300DC"/>
    <w:rsid w:val="00430FC2"/>
    <w:rsid w:val="00434195"/>
    <w:rsid w:val="0045052D"/>
    <w:rsid w:val="00451200"/>
    <w:rsid w:val="0045627F"/>
    <w:rsid w:val="004602C3"/>
    <w:rsid w:val="00460F68"/>
    <w:rsid w:val="004617EC"/>
    <w:rsid w:val="00465655"/>
    <w:rsid w:val="00465B47"/>
    <w:rsid w:val="0047238C"/>
    <w:rsid w:val="00473D97"/>
    <w:rsid w:val="0047614D"/>
    <w:rsid w:val="00477384"/>
    <w:rsid w:val="004828FB"/>
    <w:rsid w:val="004B3BC6"/>
    <w:rsid w:val="004B45AF"/>
    <w:rsid w:val="004C11E8"/>
    <w:rsid w:val="004D49E1"/>
    <w:rsid w:val="004D5736"/>
    <w:rsid w:val="004F0C1F"/>
    <w:rsid w:val="004F32F5"/>
    <w:rsid w:val="004F7D39"/>
    <w:rsid w:val="00507F0B"/>
    <w:rsid w:val="005228E1"/>
    <w:rsid w:val="005258E4"/>
    <w:rsid w:val="0053309F"/>
    <w:rsid w:val="005407CC"/>
    <w:rsid w:val="00545578"/>
    <w:rsid w:val="00551A74"/>
    <w:rsid w:val="005531AD"/>
    <w:rsid w:val="00553FAA"/>
    <w:rsid w:val="0056140B"/>
    <w:rsid w:val="00563E3F"/>
    <w:rsid w:val="00564C28"/>
    <w:rsid w:val="005659A1"/>
    <w:rsid w:val="00567D80"/>
    <w:rsid w:val="005706D4"/>
    <w:rsid w:val="00574AED"/>
    <w:rsid w:val="00584C6E"/>
    <w:rsid w:val="005858E0"/>
    <w:rsid w:val="005A02C6"/>
    <w:rsid w:val="005A4AA5"/>
    <w:rsid w:val="005B2DAF"/>
    <w:rsid w:val="005C1799"/>
    <w:rsid w:val="005C1D8F"/>
    <w:rsid w:val="005C3EE8"/>
    <w:rsid w:val="005C6394"/>
    <w:rsid w:val="005D05ED"/>
    <w:rsid w:val="005D6414"/>
    <w:rsid w:val="005D75CD"/>
    <w:rsid w:val="005F0C36"/>
    <w:rsid w:val="0063254A"/>
    <w:rsid w:val="006328CD"/>
    <w:rsid w:val="00637B9F"/>
    <w:rsid w:val="006404A0"/>
    <w:rsid w:val="00644D39"/>
    <w:rsid w:val="00655729"/>
    <w:rsid w:val="00664070"/>
    <w:rsid w:val="00664DAB"/>
    <w:rsid w:val="00672CF2"/>
    <w:rsid w:val="00686019"/>
    <w:rsid w:val="00690E0B"/>
    <w:rsid w:val="00692035"/>
    <w:rsid w:val="006C3537"/>
    <w:rsid w:val="006C7606"/>
    <w:rsid w:val="006C7D58"/>
    <w:rsid w:val="006D0892"/>
    <w:rsid w:val="006D1EBA"/>
    <w:rsid w:val="006D33FA"/>
    <w:rsid w:val="006E23A2"/>
    <w:rsid w:val="006F12B2"/>
    <w:rsid w:val="006F1A08"/>
    <w:rsid w:val="00710E38"/>
    <w:rsid w:val="00715D5C"/>
    <w:rsid w:val="00721C1C"/>
    <w:rsid w:val="00723956"/>
    <w:rsid w:val="00731ACE"/>
    <w:rsid w:val="00732255"/>
    <w:rsid w:val="00732E61"/>
    <w:rsid w:val="00743998"/>
    <w:rsid w:val="00744D16"/>
    <w:rsid w:val="00746E0A"/>
    <w:rsid w:val="00751EEA"/>
    <w:rsid w:val="00752502"/>
    <w:rsid w:val="00767D6C"/>
    <w:rsid w:val="00777892"/>
    <w:rsid w:val="007869F8"/>
    <w:rsid w:val="0079285A"/>
    <w:rsid w:val="00797C20"/>
    <w:rsid w:val="007A5A77"/>
    <w:rsid w:val="007A6A0F"/>
    <w:rsid w:val="007B4037"/>
    <w:rsid w:val="007B485E"/>
    <w:rsid w:val="007D2E82"/>
    <w:rsid w:val="007D4247"/>
    <w:rsid w:val="007D6C5A"/>
    <w:rsid w:val="007E365A"/>
    <w:rsid w:val="007F1426"/>
    <w:rsid w:val="007F6845"/>
    <w:rsid w:val="007F6A1D"/>
    <w:rsid w:val="007F6DC5"/>
    <w:rsid w:val="008029CB"/>
    <w:rsid w:val="008055E8"/>
    <w:rsid w:val="00815091"/>
    <w:rsid w:val="00826E88"/>
    <w:rsid w:val="00832FFA"/>
    <w:rsid w:val="00833A4F"/>
    <w:rsid w:val="008341A1"/>
    <w:rsid w:val="008366A6"/>
    <w:rsid w:val="00844B0F"/>
    <w:rsid w:val="008473AB"/>
    <w:rsid w:val="00852A3E"/>
    <w:rsid w:val="00857E60"/>
    <w:rsid w:val="0086106D"/>
    <w:rsid w:val="008700C4"/>
    <w:rsid w:val="00883463"/>
    <w:rsid w:val="0088441A"/>
    <w:rsid w:val="00884CB6"/>
    <w:rsid w:val="00891211"/>
    <w:rsid w:val="00891446"/>
    <w:rsid w:val="00892DCF"/>
    <w:rsid w:val="008A46C3"/>
    <w:rsid w:val="008A6288"/>
    <w:rsid w:val="008A7C70"/>
    <w:rsid w:val="008A7D67"/>
    <w:rsid w:val="008B15B7"/>
    <w:rsid w:val="008D524E"/>
    <w:rsid w:val="008E14CC"/>
    <w:rsid w:val="0090164A"/>
    <w:rsid w:val="0090765E"/>
    <w:rsid w:val="0091635C"/>
    <w:rsid w:val="00920C4B"/>
    <w:rsid w:val="00923781"/>
    <w:rsid w:val="009259F1"/>
    <w:rsid w:val="00931EEF"/>
    <w:rsid w:val="00937CCB"/>
    <w:rsid w:val="00940B29"/>
    <w:rsid w:val="00943F3F"/>
    <w:rsid w:val="00947AFE"/>
    <w:rsid w:val="009531B6"/>
    <w:rsid w:val="009569D8"/>
    <w:rsid w:val="00964257"/>
    <w:rsid w:val="00967B20"/>
    <w:rsid w:val="009803D9"/>
    <w:rsid w:val="0099349F"/>
    <w:rsid w:val="00997A7D"/>
    <w:rsid w:val="00997D95"/>
    <w:rsid w:val="009B0030"/>
    <w:rsid w:val="009B7935"/>
    <w:rsid w:val="009D772C"/>
    <w:rsid w:val="009E0BF2"/>
    <w:rsid w:val="009E3E2A"/>
    <w:rsid w:val="009E7EA6"/>
    <w:rsid w:val="009F114D"/>
    <w:rsid w:val="009F23B8"/>
    <w:rsid w:val="009F525F"/>
    <w:rsid w:val="00A175CA"/>
    <w:rsid w:val="00A2434E"/>
    <w:rsid w:val="00A25552"/>
    <w:rsid w:val="00A25C8E"/>
    <w:rsid w:val="00A369A0"/>
    <w:rsid w:val="00A4564C"/>
    <w:rsid w:val="00A46BB5"/>
    <w:rsid w:val="00A536F4"/>
    <w:rsid w:val="00A60D4C"/>
    <w:rsid w:val="00A633FA"/>
    <w:rsid w:val="00A6413F"/>
    <w:rsid w:val="00A70F7F"/>
    <w:rsid w:val="00A72448"/>
    <w:rsid w:val="00A779DA"/>
    <w:rsid w:val="00A917E1"/>
    <w:rsid w:val="00AA3CAD"/>
    <w:rsid w:val="00AA42AA"/>
    <w:rsid w:val="00AB3AD9"/>
    <w:rsid w:val="00AC4C50"/>
    <w:rsid w:val="00AC6489"/>
    <w:rsid w:val="00AC66C6"/>
    <w:rsid w:val="00AF3329"/>
    <w:rsid w:val="00AF377E"/>
    <w:rsid w:val="00AF6005"/>
    <w:rsid w:val="00B006D1"/>
    <w:rsid w:val="00B06FEE"/>
    <w:rsid w:val="00B200C6"/>
    <w:rsid w:val="00B24023"/>
    <w:rsid w:val="00B55FE0"/>
    <w:rsid w:val="00B609ED"/>
    <w:rsid w:val="00B61C77"/>
    <w:rsid w:val="00B65130"/>
    <w:rsid w:val="00B76CFB"/>
    <w:rsid w:val="00B810E4"/>
    <w:rsid w:val="00B9151E"/>
    <w:rsid w:val="00BA6CFE"/>
    <w:rsid w:val="00BA6F6C"/>
    <w:rsid w:val="00BD5DC3"/>
    <w:rsid w:val="00BE1A78"/>
    <w:rsid w:val="00BE64E6"/>
    <w:rsid w:val="00BF4364"/>
    <w:rsid w:val="00BF6A32"/>
    <w:rsid w:val="00C3631A"/>
    <w:rsid w:val="00C37BFB"/>
    <w:rsid w:val="00C41CE8"/>
    <w:rsid w:val="00C41D29"/>
    <w:rsid w:val="00C425A0"/>
    <w:rsid w:val="00C42997"/>
    <w:rsid w:val="00C42DB1"/>
    <w:rsid w:val="00C438DA"/>
    <w:rsid w:val="00C54E71"/>
    <w:rsid w:val="00C6452B"/>
    <w:rsid w:val="00C66379"/>
    <w:rsid w:val="00C66729"/>
    <w:rsid w:val="00C67CAD"/>
    <w:rsid w:val="00C848C0"/>
    <w:rsid w:val="00C92BA2"/>
    <w:rsid w:val="00C93C8B"/>
    <w:rsid w:val="00CA009C"/>
    <w:rsid w:val="00CA276C"/>
    <w:rsid w:val="00CA4DA6"/>
    <w:rsid w:val="00CB0340"/>
    <w:rsid w:val="00CB2C21"/>
    <w:rsid w:val="00CC4DE8"/>
    <w:rsid w:val="00CD1AE3"/>
    <w:rsid w:val="00CD7C0D"/>
    <w:rsid w:val="00D13361"/>
    <w:rsid w:val="00D14302"/>
    <w:rsid w:val="00D15369"/>
    <w:rsid w:val="00D17295"/>
    <w:rsid w:val="00D2322A"/>
    <w:rsid w:val="00D269A3"/>
    <w:rsid w:val="00D30213"/>
    <w:rsid w:val="00D3292D"/>
    <w:rsid w:val="00D338DE"/>
    <w:rsid w:val="00D35FA1"/>
    <w:rsid w:val="00D4603E"/>
    <w:rsid w:val="00D5364D"/>
    <w:rsid w:val="00D53656"/>
    <w:rsid w:val="00D57188"/>
    <w:rsid w:val="00D57CD0"/>
    <w:rsid w:val="00D7107E"/>
    <w:rsid w:val="00D734DC"/>
    <w:rsid w:val="00D7586A"/>
    <w:rsid w:val="00D802DB"/>
    <w:rsid w:val="00D84874"/>
    <w:rsid w:val="00D91F6A"/>
    <w:rsid w:val="00D92101"/>
    <w:rsid w:val="00D94DD6"/>
    <w:rsid w:val="00DA0291"/>
    <w:rsid w:val="00DA18CD"/>
    <w:rsid w:val="00DA2246"/>
    <w:rsid w:val="00DA3F65"/>
    <w:rsid w:val="00DB1D31"/>
    <w:rsid w:val="00DC4DAA"/>
    <w:rsid w:val="00DD1F73"/>
    <w:rsid w:val="00DE2926"/>
    <w:rsid w:val="00DE2D5D"/>
    <w:rsid w:val="00DF3CE7"/>
    <w:rsid w:val="00E03F05"/>
    <w:rsid w:val="00E0535A"/>
    <w:rsid w:val="00E160F0"/>
    <w:rsid w:val="00E258AC"/>
    <w:rsid w:val="00E260DC"/>
    <w:rsid w:val="00E27AA5"/>
    <w:rsid w:val="00E5088E"/>
    <w:rsid w:val="00E55C94"/>
    <w:rsid w:val="00E577E8"/>
    <w:rsid w:val="00E57CBC"/>
    <w:rsid w:val="00E6075C"/>
    <w:rsid w:val="00E6283A"/>
    <w:rsid w:val="00E63E9B"/>
    <w:rsid w:val="00E65D99"/>
    <w:rsid w:val="00E70F54"/>
    <w:rsid w:val="00E76141"/>
    <w:rsid w:val="00E86F39"/>
    <w:rsid w:val="00E9157A"/>
    <w:rsid w:val="00E921C7"/>
    <w:rsid w:val="00E95E50"/>
    <w:rsid w:val="00EA0A06"/>
    <w:rsid w:val="00EA1268"/>
    <w:rsid w:val="00EA44A4"/>
    <w:rsid w:val="00EB4AC0"/>
    <w:rsid w:val="00EE11FD"/>
    <w:rsid w:val="00EF082D"/>
    <w:rsid w:val="00F01876"/>
    <w:rsid w:val="00F104F3"/>
    <w:rsid w:val="00F11C5F"/>
    <w:rsid w:val="00F14D24"/>
    <w:rsid w:val="00F14DD8"/>
    <w:rsid w:val="00F16F85"/>
    <w:rsid w:val="00F2214E"/>
    <w:rsid w:val="00F32D11"/>
    <w:rsid w:val="00F37563"/>
    <w:rsid w:val="00F649D5"/>
    <w:rsid w:val="00F657CF"/>
    <w:rsid w:val="00F746F3"/>
    <w:rsid w:val="00F80AE6"/>
    <w:rsid w:val="00F83992"/>
    <w:rsid w:val="00F9013D"/>
    <w:rsid w:val="00F91E4F"/>
    <w:rsid w:val="00F94977"/>
    <w:rsid w:val="00FB2A71"/>
    <w:rsid w:val="00FB47E6"/>
    <w:rsid w:val="00FB49EB"/>
    <w:rsid w:val="00FD06C1"/>
    <w:rsid w:val="00FD0B44"/>
    <w:rsid w:val="00FD0CB0"/>
    <w:rsid w:val="00FD4671"/>
    <w:rsid w:val="00FE2EB5"/>
    <w:rsid w:val="00FF0301"/>
    <w:rsid w:val="00FF0D7B"/>
    <w:rsid w:val="00FF54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99B537"/>
  <w15:docId w15:val="{C8B11F65-8F81-429E-80B0-EB4786EE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426"/>
  </w:style>
  <w:style w:type="paragraph" w:styleId="Ttulo1">
    <w:name w:val="heading 1"/>
    <w:basedOn w:val="Normal"/>
    <w:next w:val="Normal"/>
    <w:link w:val="Ttulo1Car"/>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B200C6"/>
    <w:rPr>
      <w:color w:val="0000FF" w:themeColor="hyperlink"/>
      <w:u w:val="single"/>
    </w:rPr>
  </w:style>
  <w:style w:type="paragraph" w:styleId="Sinespaciado">
    <w:name w:val="No Spacing"/>
    <w:link w:val="SinespaciadoCar"/>
    <w:uiPriority w:val="1"/>
    <w:qFormat/>
    <w:rsid w:val="00B200C6"/>
    <w:rPr>
      <w:lang w:eastAsia="en-US"/>
    </w:rPr>
  </w:style>
  <w:style w:type="paragraph" w:styleId="TtuloTDC">
    <w:name w:val="TOC Heading"/>
    <w:basedOn w:val="Ttulo1"/>
    <w:next w:val="Normal"/>
    <w:uiPriority w:val="39"/>
    <w:unhideWhenUsed/>
    <w:qFormat/>
    <w:rsid w:val="00B200C6"/>
    <w:pPr>
      <w:spacing w:line="259" w:lineRule="auto"/>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B200C6"/>
    <w:pPr>
      <w:tabs>
        <w:tab w:val="left" w:pos="440"/>
        <w:tab w:val="right" w:leader="dot" w:pos="8546"/>
      </w:tabs>
      <w:spacing w:line="276" w:lineRule="auto"/>
    </w:pPr>
    <w:rPr>
      <w:rFonts w:ascii="Arial" w:hAnsi="Arial" w:cs="Arial"/>
      <w:b/>
      <w:bCs/>
      <w:noProof/>
      <w:sz w:val="18"/>
      <w:szCs w:val="18"/>
      <w:lang w:eastAsia="es-ES"/>
    </w:rPr>
  </w:style>
  <w:style w:type="paragraph" w:styleId="TDC2">
    <w:name w:val="toc 2"/>
    <w:basedOn w:val="Normal"/>
    <w:next w:val="Normal"/>
    <w:autoRedefine/>
    <w:uiPriority w:val="39"/>
    <w:unhideWhenUsed/>
    <w:rsid w:val="00B200C6"/>
    <w:pPr>
      <w:tabs>
        <w:tab w:val="right" w:leader="dot" w:pos="8546"/>
      </w:tabs>
      <w:ind w:left="993" w:right="899" w:hanging="142"/>
      <w:contextualSpacing/>
      <w:jc w:val="both"/>
    </w:pPr>
    <w:rPr>
      <w:rFonts w:ascii="Arial" w:eastAsia="Calibri" w:hAnsi="Arial" w:cs="Arial"/>
      <w:b/>
      <w:bCs/>
      <w:noProof/>
      <w:sz w:val="18"/>
      <w:szCs w:val="18"/>
      <w:lang w:val="es-ES_tradnl" w:eastAsia="en-US"/>
    </w:rPr>
  </w:style>
  <w:style w:type="character" w:customStyle="1" w:styleId="SinespaciadoCar">
    <w:name w:val="Sin espaciado Car"/>
    <w:link w:val="Sinespaciado"/>
    <w:uiPriority w:val="1"/>
    <w:rsid w:val="00B200C6"/>
    <w:rPr>
      <w:lang w:eastAsia="en-US"/>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200C6"/>
    <w:rPr>
      <w:rFonts w:asciiTheme="minorHAnsi" w:eastAsiaTheme="minorEastAsia" w:hAnsiTheme="minorHAnsi" w:cstheme="minorBidi"/>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200C6"/>
    <w:rPr>
      <w:rFonts w:asciiTheme="minorHAnsi" w:eastAsiaTheme="minorEastAsia" w:hAnsiTheme="minorHAnsi" w:cstheme="minorBidi"/>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juli"/>
    <w:basedOn w:val="Fuentedeprrafopredeter"/>
    <w:link w:val="4GChar"/>
    <w:uiPriority w:val="99"/>
    <w:unhideWhenUsed/>
    <w:qFormat/>
    <w:rsid w:val="00B200C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200C6"/>
    <w:pPr>
      <w:jc w:val="both"/>
    </w:pPr>
    <w:rPr>
      <w:vertAlign w:val="superscript"/>
    </w:rPr>
  </w:style>
  <w:style w:type="paragraph" w:styleId="Prrafodelista">
    <w:name w:val="List Paragraph"/>
    <w:basedOn w:val="Normal"/>
    <w:uiPriority w:val="34"/>
    <w:qFormat/>
    <w:rsid w:val="006F1A08"/>
    <w:pPr>
      <w:ind w:left="720"/>
      <w:contextualSpacing/>
    </w:pPr>
  </w:style>
  <w:style w:type="table" w:styleId="Tablaconcuadrcula">
    <w:name w:val="Table Grid"/>
    <w:basedOn w:val="Tablanormal"/>
    <w:uiPriority w:val="39"/>
    <w:rsid w:val="00993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14302"/>
    <w:rPr>
      <w:rFonts w:ascii="Calibri" w:eastAsia="Calibri" w:hAnsi="Calibri" w:cs="Calibri"/>
      <w:color w:val="2F5496"/>
      <w:sz w:val="32"/>
      <w:szCs w:val="32"/>
    </w:rPr>
  </w:style>
  <w:style w:type="paragraph" w:styleId="NormalWeb">
    <w:name w:val="Normal (Web)"/>
    <w:basedOn w:val="Normal"/>
    <w:uiPriority w:val="99"/>
    <w:semiHidden/>
    <w:unhideWhenUsed/>
    <w:rsid w:val="002754A0"/>
    <w:pPr>
      <w:spacing w:before="100" w:beforeAutospacing="1" w:after="100" w:afterAutospacing="1"/>
    </w:pPr>
    <w:rPr>
      <w:sz w:val="24"/>
      <w:szCs w:val="24"/>
    </w:rPr>
  </w:style>
  <w:style w:type="paragraph" w:styleId="Encabezado">
    <w:name w:val="header"/>
    <w:basedOn w:val="Normal"/>
    <w:link w:val="EncabezadoCar"/>
    <w:uiPriority w:val="99"/>
    <w:unhideWhenUsed/>
    <w:rsid w:val="00563E3F"/>
    <w:pPr>
      <w:tabs>
        <w:tab w:val="center" w:pos="4419"/>
        <w:tab w:val="right" w:pos="8838"/>
      </w:tabs>
    </w:pPr>
  </w:style>
  <w:style w:type="character" w:customStyle="1" w:styleId="EncabezadoCar">
    <w:name w:val="Encabezado Car"/>
    <w:basedOn w:val="Fuentedeprrafopredeter"/>
    <w:link w:val="Encabezado"/>
    <w:uiPriority w:val="99"/>
    <w:rsid w:val="00563E3F"/>
  </w:style>
  <w:style w:type="paragraph" w:styleId="Piedepgina">
    <w:name w:val="footer"/>
    <w:basedOn w:val="Normal"/>
    <w:link w:val="PiedepginaCar"/>
    <w:uiPriority w:val="99"/>
    <w:unhideWhenUsed/>
    <w:rsid w:val="00563E3F"/>
    <w:pPr>
      <w:tabs>
        <w:tab w:val="center" w:pos="4419"/>
        <w:tab w:val="right" w:pos="8838"/>
      </w:tabs>
    </w:pPr>
  </w:style>
  <w:style w:type="character" w:customStyle="1" w:styleId="PiedepginaCar">
    <w:name w:val="Pie de página Car"/>
    <w:basedOn w:val="Fuentedeprrafopredeter"/>
    <w:link w:val="Piedepgina"/>
    <w:uiPriority w:val="99"/>
    <w:rsid w:val="00563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229496">
      <w:bodyDiv w:val="1"/>
      <w:marLeft w:val="0"/>
      <w:marRight w:val="0"/>
      <w:marTop w:val="0"/>
      <w:marBottom w:val="0"/>
      <w:divBdr>
        <w:top w:val="none" w:sz="0" w:space="0" w:color="auto"/>
        <w:left w:val="none" w:sz="0" w:space="0" w:color="auto"/>
        <w:bottom w:val="none" w:sz="0" w:space="0" w:color="auto"/>
        <w:right w:val="none" w:sz="0" w:space="0" w:color="auto"/>
      </w:divBdr>
    </w:div>
    <w:div w:id="337149465">
      <w:bodyDiv w:val="1"/>
      <w:marLeft w:val="0"/>
      <w:marRight w:val="0"/>
      <w:marTop w:val="0"/>
      <w:marBottom w:val="0"/>
      <w:divBdr>
        <w:top w:val="none" w:sz="0" w:space="0" w:color="auto"/>
        <w:left w:val="none" w:sz="0" w:space="0" w:color="auto"/>
        <w:bottom w:val="none" w:sz="0" w:space="0" w:color="auto"/>
        <w:right w:val="none" w:sz="0" w:space="0" w:color="auto"/>
      </w:divBdr>
    </w:div>
    <w:div w:id="850682582">
      <w:bodyDiv w:val="1"/>
      <w:marLeft w:val="0"/>
      <w:marRight w:val="0"/>
      <w:marTop w:val="0"/>
      <w:marBottom w:val="0"/>
      <w:divBdr>
        <w:top w:val="none" w:sz="0" w:space="0" w:color="auto"/>
        <w:left w:val="none" w:sz="0" w:space="0" w:color="auto"/>
        <w:bottom w:val="none" w:sz="0" w:space="0" w:color="auto"/>
        <w:right w:val="none" w:sz="0" w:space="0" w:color="auto"/>
      </w:divBdr>
    </w:div>
    <w:div w:id="880898370">
      <w:bodyDiv w:val="1"/>
      <w:marLeft w:val="0"/>
      <w:marRight w:val="0"/>
      <w:marTop w:val="0"/>
      <w:marBottom w:val="0"/>
      <w:divBdr>
        <w:top w:val="none" w:sz="0" w:space="0" w:color="auto"/>
        <w:left w:val="none" w:sz="0" w:space="0" w:color="auto"/>
        <w:bottom w:val="none" w:sz="0" w:space="0" w:color="auto"/>
        <w:right w:val="none" w:sz="0" w:space="0" w:color="auto"/>
      </w:divBdr>
    </w:div>
    <w:div w:id="1005326725">
      <w:bodyDiv w:val="1"/>
      <w:marLeft w:val="0"/>
      <w:marRight w:val="0"/>
      <w:marTop w:val="0"/>
      <w:marBottom w:val="0"/>
      <w:divBdr>
        <w:top w:val="none" w:sz="0" w:space="0" w:color="auto"/>
        <w:left w:val="none" w:sz="0" w:space="0" w:color="auto"/>
        <w:bottom w:val="none" w:sz="0" w:space="0" w:color="auto"/>
        <w:right w:val="none" w:sz="0" w:space="0" w:color="auto"/>
      </w:divBdr>
    </w:div>
    <w:div w:id="1531338877">
      <w:bodyDiv w:val="1"/>
      <w:marLeft w:val="0"/>
      <w:marRight w:val="0"/>
      <w:marTop w:val="0"/>
      <w:marBottom w:val="0"/>
      <w:divBdr>
        <w:top w:val="none" w:sz="0" w:space="0" w:color="auto"/>
        <w:left w:val="none" w:sz="0" w:space="0" w:color="auto"/>
        <w:bottom w:val="none" w:sz="0" w:space="0" w:color="auto"/>
        <w:right w:val="none" w:sz="0" w:space="0" w:color="auto"/>
      </w:divBdr>
    </w:div>
    <w:div w:id="1622807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Clase=DetalleTesisBL&amp;ID=164618&amp;Semanario=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EAC4B-12B3-44DB-82D2-48F0A9DF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5911</Words>
  <Characters>32511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2021-04-16T00:45:00Z</cp:lastPrinted>
  <dcterms:created xsi:type="dcterms:W3CDTF">2021-06-01T19:45:00Z</dcterms:created>
  <dcterms:modified xsi:type="dcterms:W3CDTF">2021-06-01T19:45:00Z</dcterms:modified>
</cp:coreProperties>
</file>